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451B" w14:textId="77777777" w:rsidR="00540A8C" w:rsidRDefault="00540A8C" w:rsidP="00745B4F">
      <w:pPr>
        <w:autoSpaceDE w:val="0"/>
        <w:autoSpaceDN w:val="0"/>
        <w:adjustRightInd w:val="0"/>
        <w:spacing w:before="0" w:line="276" w:lineRule="auto"/>
        <w:rPr>
          <w:rFonts w:cstheme="majorHAnsi"/>
          <w:iCs/>
          <w:color w:val="000000" w:themeColor="text1"/>
          <w:szCs w:val="22"/>
        </w:rPr>
      </w:pPr>
    </w:p>
    <w:p w14:paraId="57128DA1" w14:textId="77777777" w:rsidR="00AA47C0" w:rsidRDefault="00AA47C0" w:rsidP="00745B4F">
      <w:pPr>
        <w:autoSpaceDE w:val="0"/>
        <w:autoSpaceDN w:val="0"/>
        <w:adjustRightInd w:val="0"/>
        <w:spacing w:before="0" w:line="276" w:lineRule="auto"/>
        <w:rPr>
          <w:rFonts w:cstheme="majorHAnsi"/>
          <w:iCs/>
          <w:color w:val="000000" w:themeColor="text1"/>
          <w:szCs w:val="22"/>
        </w:rPr>
      </w:pPr>
    </w:p>
    <w:p w14:paraId="4BAC1990" w14:textId="174EEFB2" w:rsidR="001A5820" w:rsidRPr="00AA47C0" w:rsidRDefault="001A5820" w:rsidP="00745B4F">
      <w:pPr>
        <w:autoSpaceDE w:val="0"/>
        <w:autoSpaceDN w:val="0"/>
        <w:adjustRightInd w:val="0"/>
        <w:spacing w:before="0" w:line="276" w:lineRule="auto"/>
        <w:rPr>
          <w:rFonts w:cstheme="majorHAnsi"/>
          <w:b/>
          <w:bCs/>
          <w:iCs/>
          <w:color w:val="000000" w:themeColor="text1"/>
          <w:szCs w:val="22"/>
          <w:lang w:val="en-US"/>
        </w:rPr>
      </w:pPr>
      <w:r w:rsidRPr="00540A8C">
        <w:rPr>
          <w:rFonts w:cstheme="majorHAnsi"/>
          <w:iCs/>
          <w:color w:val="000000" w:themeColor="text1"/>
          <w:szCs w:val="22"/>
        </w:rPr>
        <w:t>Προς</w:t>
      </w:r>
      <w:r w:rsidRPr="00AA47C0">
        <w:rPr>
          <w:rFonts w:cstheme="majorHAnsi"/>
          <w:iCs/>
          <w:color w:val="000000" w:themeColor="text1"/>
          <w:szCs w:val="22"/>
          <w:lang w:val="en-US"/>
        </w:rPr>
        <w:t>:</w:t>
      </w:r>
      <w:r w:rsidRPr="00AA47C0">
        <w:rPr>
          <w:rFonts w:cstheme="majorHAnsi"/>
          <w:iCs/>
          <w:color w:val="000000" w:themeColor="text1"/>
          <w:szCs w:val="22"/>
          <w:lang w:val="en-US"/>
        </w:rPr>
        <w:tab/>
      </w:r>
      <w:r w:rsidR="00AA47C0" w:rsidRPr="00AA47C0">
        <w:rPr>
          <w:rFonts w:cstheme="majorHAnsi"/>
          <w:b/>
          <w:bCs/>
          <w:iCs/>
          <w:color w:val="000000" w:themeColor="text1"/>
          <w:szCs w:val="22"/>
          <w:lang w:val="en-US"/>
        </w:rPr>
        <w:t>Members Service Department</w:t>
      </w:r>
    </w:p>
    <w:p w14:paraId="245D857A" w14:textId="0B8CC8F1" w:rsidR="001A5820" w:rsidRPr="00AA47C0" w:rsidRDefault="001A5820" w:rsidP="00745B4F">
      <w:pPr>
        <w:autoSpaceDE w:val="0"/>
        <w:autoSpaceDN w:val="0"/>
        <w:adjustRightInd w:val="0"/>
        <w:spacing w:before="0" w:line="276" w:lineRule="auto"/>
        <w:rPr>
          <w:rFonts w:cstheme="majorHAnsi"/>
          <w:iCs/>
          <w:color w:val="000000" w:themeColor="text1"/>
          <w:szCs w:val="22"/>
          <w:lang w:val="en-US"/>
        </w:rPr>
      </w:pPr>
      <w:r w:rsidRPr="00AA47C0">
        <w:rPr>
          <w:rFonts w:cstheme="majorHAnsi"/>
          <w:b/>
          <w:bCs/>
          <w:iCs/>
          <w:color w:val="000000" w:themeColor="text1"/>
          <w:szCs w:val="22"/>
          <w:lang w:val="en-US"/>
        </w:rPr>
        <w:tab/>
      </w:r>
      <w:r w:rsidR="00AA47C0" w:rsidRPr="00AA47C0">
        <w:rPr>
          <w:rFonts w:cstheme="majorHAnsi"/>
          <w:iCs/>
          <w:color w:val="000000" w:themeColor="text1"/>
          <w:szCs w:val="22"/>
          <w:lang w:val="en-US"/>
        </w:rPr>
        <w:t>Athens Exchange Group</w:t>
      </w:r>
    </w:p>
    <w:p w14:paraId="32D65CD5" w14:textId="791A6AFE" w:rsidR="001A5820" w:rsidRPr="00C862E1" w:rsidRDefault="001A5820" w:rsidP="00745B4F">
      <w:pPr>
        <w:autoSpaceDE w:val="0"/>
        <w:autoSpaceDN w:val="0"/>
        <w:adjustRightInd w:val="0"/>
        <w:spacing w:before="0" w:line="276" w:lineRule="auto"/>
        <w:rPr>
          <w:rFonts w:cstheme="majorHAnsi"/>
          <w:iCs/>
          <w:color w:val="000000" w:themeColor="text1"/>
          <w:szCs w:val="22"/>
          <w:lang w:val="en-GB"/>
        </w:rPr>
      </w:pPr>
      <w:r w:rsidRPr="00AA47C0">
        <w:rPr>
          <w:rFonts w:cstheme="majorHAnsi"/>
          <w:iCs/>
          <w:color w:val="000000" w:themeColor="text1"/>
          <w:szCs w:val="22"/>
          <w:lang w:val="en-US"/>
        </w:rPr>
        <w:tab/>
      </w:r>
      <w:r w:rsidR="00AA47C0" w:rsidRPr="00C862E1">
        <w:rPr>
          <w:rFonts w:cstheme="majorHAnsi"/>
          <w:iCs/>
          <w:color w:val="000000" w:themeColor="text1"/>
          <w:szCs w:val="22"/>
          <w:lang w:val="en-GB"/>
        </w:rPr>
        <w:t>110 Athinon Ave,10442, Athens, Greece</w:t>
      </w:r>
    </w:p>
    <w:p w14:paraId="64B4241B" w14:textId="77777777" w:rsidR="001A5820" w:rsidRPr="00540A8C" w:rsidRDefault="001A5820" w:rsidP="00745B4F">
      <w:pPr>
        <w:autoSpaceDE w:val="0"/>
        <w:autoSpaceDN w:val="0"/>
        <w:adjustRightInd w:val="0"/>
        <w:spacing w:before="0" w:line="276" w:lineRule="auto"/>
        <w:ind w:firstLine="720"/>
        <w:rPr>
          <w:rFonts w:cstheme="majorHAnsi"/>
          <w:iCs/>
          <w:color w:val="000000" w:themeColor="text1"/>
          <w:szCs w:val="22"/>
          <w:lang w:val="it-IT"/>
        </w:rPr>
      </w:pPr>
      <w:r w:rsidRPr="00540A8C">
        <w:rPr>
          <w:rFonts w:cstheme="majorHAnsi"/>
          <w:iCs/>
          <w:color w:val="000000" w:themeColor="text1"/>
          <w:szCs w:val="22"/>
          <w:lang w:val="it-IT"/>
        </w:rPr>
        <w:t>+30 210 336 6393, 30 210 336 6385</w:t>
      </w:r>
    </w:p>
    <w:p w14:paraId="6DD9F9A5" w14:textId="77777777" w:rsidR="001A5820" w:rsidRPr="00540A8C" w:rsidRDefault="00000000" w:rsidP="00745B4F">
      <w:pPr>
        <w:autoSpaceDE w:val="0"/>
        <w:autoSpaceDN w:val="0"/>
        <w:adjustRightInd w:val="0"/>
        <w:spacing w:before="0" w:line="276" w:lineRule="auto"/>
        <w:ind w:firstLine="720"/>
        <w:rPr>
          <w:rFonts w:cstheme="majorHAnsi"/>
          <w:bCs/>
          <w:iCs/>
          <w:color w:val="000000" w:themeColor="text1"/>
          <w:szCs w:val="22"/>
          <w:u w:val="single"/>
          <w:lang w:val="it-IT"/>
        </w:rPr>
      </w:pPr>
      <w:hyperlink r:id="rId9" w:history="1">
        <w:r w:rsidR="001A5820" w:rsidRPr="00540A8C">
          <w:rPr>
            <w:rStyle w:val="Hyperlink"/>
            <w:rFonts w:cstheme="majorHAnsi"/>
            <w:bCs/>
            <w:iCs/>
            <w:color w:val="000000" w:themeColor="text1"/>
            <w:szCs w:val="22"/>
            <w:lang w:val="it-IT"/>
          </w:rPr>
          <w:t>members-support@athexgroup.gr</w:t>
        </w:r>
      </w:hyperlink>
      <w:r w:rsidR="001A5820" w:rsidRPr="00540A8C">
        <w:rPr>
          <w:rFonts w:cstheme="majorHAnsi"/>
          <w:bCs/>
          <w:iCs/>
          <w:color w:val="000000" w:themeColor="text1"/>
          <w:szCs w:val="22"/>
          <w:lang w:val="it-IT"/>
        </w:rPr>
        <w:t xml:space="preserve"> </w:t>
      </w:r>
    </w:p>
    <w:p w14:paraId="371751A5" w14:textId="77777777" w:rsidR="00AA47C0" w:rsidRPr="00AA47C0" w:rsidRDefault="00AA47C0" w:rsidP="001A5820">
      <w:pPr>
        <w:autoSpaceDE w:val="0"/>
        <w:autoSpaceDN w:val="0"/>
        <w:adjustRightInd w:val="0"/>
        <w:jc w:val="right"/>
        <w:rPr>
          <w:lang w:val="en-US"/>
        </w:rPr>
      </w:pPr>
    </w:p>
    <w:p w14:paraId="04231E5D" w14:textId="5CFB916B" w:rsidR="001A5820" w:rsidRPr="00AA47C0" w:rsidRDefault="00AA47C0" w:rsidP="00AA47C0">
      <w:pPr>
        <w:autoSpaceDE w:val="0"/>
        <w:autoSpaceDN w:val="0"/>
        <w:adjustRightInd w:val="0"/>
        <w:jc w:val="center"/>
        <w:rPr>
          <w:rFonts w:cstheme="majorHAnsi"/>
          <w:iCs/>
          <w:color w:val="000000" w:themeColor="text1"/>
          <w:sz w:val="24"/>
          <w:szCs w:val="24"/>
          <w:lang w:val="en-US"/>
        </w:rPr>
      </w:pPr>
      <w:r w:rsidRPr="00AA47C0">
        <w:rPr>
          <w:rFonts w:cstheme="majorHAnsi"/>
          <w:b/>
          <w:iCs/>
          <w:color w:val="000000" w:themeColor="text1"/>
          <w:sz w:val="24"/>
          <w:szCs w:val="24"/>
          <w:lang w:val="en-US"/>
        </w:rPr>
        <w:t>DECLARATION OF PARTICIPATION OF A</w:t>
      </w:r>
      <w:r w:rsidR="00AA29D4">
        <w:rPr>
          <w:rFonts w:cstheme="majorHAnsi"/>
          <w:b/>
          <w:iCs/>
          <w:color w:val="000000" w:themeColor="text1"/>
          <w:sz w:val="24"/>
          <w:szCs w:val="24"/>
          <w:lang w:val="en-US"/>
        </w:rPr>
        <w:t>N ATHEX</w:t>
      </w:r>
      <w:r w:rsidRPr="00AA47C0">
        <w:rPr>
          <w:rFonts w:cstheme="majorHAnsi"/>
          <w:b/>
          <w:iCs/>
          <w:color w:val="000000" w:themeColor="text1"/>
          <w:sz w:val="24"/>
          <w:szCs w:val="24"/>
          <w:lang w:val="en-US"/>
        </w:rPr>
        <w:t xml:space="preserve"> MEMBER </w:t>
      </w:r>
      <w:r w:rsidR="00AA29D4">
        <w:rPr>
          <w:rFonts w:cstheme="majorHAnsi"/>
          <w:b/>
          <w:iCs/>
          <w:color w:val="000000" w:themeColor="text1"/>
          <w:sz w:val="24"/>
          <w:szCs w:val="24"/>
          <w:lang w:val="en-US"/>
        </w:rPr>
        <w:t>AT</w:t>
      </w:r>
      <w:r w:rsidRPr="00AA47C0">
        <w:rPr>
          <w:rFonts w:cstheme="majorHAnsi"/>
          <w:b/>
          <w:iCs/>
          <w:color w:val="000000" w:themeColor="text1"/>
          <w:sz w:val="24"/>
          <w:szCs w:val="24"/>
          <w:lang w:val="en-US"/>
        </w:rPr>
        <w:t xml:space="preserve"> THE EBB PROCESS IN RELATION TO THE CAPITAL RAISING OF </w:t>
      </w:r>
      <w:r w:rsidR="008B11B9">
        <w:rPr>
          <w:rFonts w:cstheme="majorHAnsi"/>
          <w:b/>
          <w:iCs/>
          <w:color w:val="000000" w:themeColor="text1"/>
          <w:sz w:val="24"/>
          <w:szCs w:val="24"/>
          <w:lang w:val="en-US"/>
        </w:rPr>
        <w:t>“</w:t>
      </w:r>
      <w:r w:rsidR="004A0001" w:rsidRPr="004A0001">
        <w:rPr>
          <w:rFonts w:cstheme="majorHAnsi"/>
          <w:b/>
          <w:iCs/>
          <w:color w:val="000000" w:themeColor="text1"/>
          <w:sz w:val="24"/>
          <w:szCs w:val="24"/>
          <w:lang w:val="en-US"/>
        </w:rPr>
        <w:t>NOVAL PROPERTY R.E.I.C.</w:t>
      </w:r>
      <w:r w:rsidR="00F059D7">
        <w:rPr>
          <w:rFonts w:cstheme="majorHAnsi"/>
          <w:b/>
          <w:iCs/>
          <w:color w:val="000000" w:themeColor="text1"/>
          <w:sz w:val="24"/>
          <w:szCs w:val="24"/>
          <w:lang w:val="en-US"/>
        </w:rPr>
        <w:t>”</w:t>
      </w:r>
    </w:p>
    <w:p w14:paraId="52508B95" w14:textId="7716794D" w:rsidR="001A5820" w:rsidRPr="00AA47C0" w:rsidRDefault="001A5820" w:rsidP="00AA47C0">
      <w:pPr>
        <w:autoSpaceDE w:val="0"/>
        <w:autoSpaceDN w:val="0"/>
        <w:adjustRightInd w:val="0"/>
        <w:ind w:left="-11"/>
        <w:rPr>
          <w:rFonts w:cstheme="majorHAnsi"/>
          <w:i/>
          <w:color w:val="000000" w:themeColor="text1"/>
          <w:sz w:val="18"/>
          <w:szCs w:val="18"/>
          <w:lang w:val="en-US"/>
        </w:rPr>
      </w:pPr>
      <w:r w:rsidRPr="00AA47C0">
        <w:rPr>
          <w:rFonts w:cstheme="majorHAnsi"/>
          <w:i/>
          <w:color w:val="000000" w:themeColor="text1"/>
          <w:sz w:val="18"/>
          <w:szCs w:val="18"/>
          <w:lang w:val="en-US"/>
        </w:rPr>
        <w:t>(</w:t>
      </w:r>
      <w:r w:rsidR="00AA47C0" w:rsidRPr="00AA47C0">
        <w:rPr>
          <w:rFonts w:cstheme="majorHAnsi"/>
          <w:i/>
          <w:color w:val="000000" w:themeColor="text1"/>
          <w:sz w:val="18"/>
          <w:szCs w:val="18"/>
          <w:lang w:val="en-US"/>
        </w:rPr>
        <w:t>Capitalized terms in this document have the meaning ascribed to them in the ATHEX Rulebook or the Operating Rules of the Alternative Market, as the case may be, and in Resolution 34 of the Stock Markets Steering Committee</w:t>
      </w:r>
      <w:r w:rsidRPr="00AA47C0">
        <w:rPr>
          <w:rFonts w:cstheme="majorHAnsi"/>
          <w:i/>
          <w:color w:val="000000" w:themeColor="text1"/>
          <w:sz w:val="18"/>
          <w:szCs w:val="18"/>
          <w:lang w:val="en-US"/>
        </w:rPr>
        <w:t>)</w:t>
      </w:r>
    </w:p>
    <w:p w14:paraId="7707BD00" w14:textId="5D90F9BD" w:rsidR="001A5820" w:rsidRDefault="00C862E1" w:rsidP="00AA47C0">
      <w:pPr>
        <w:autoSpaceDE w:val="0"/>
        <w:autoSpaceDN w:val="0"/>
        <w:adjustRightInd w:val="0"/>
        <w:rPr>
          <w:rFonts w:cstheme="majorHAnsi"/>
          <w:iCs/>
          <w:color w:val="000000" w:themeColor="text1"/>
          <w:szCs w:val="22"/>
          <w:lang w:val="en-US"/>
        </w:rPr>
      </w:pPr>
      <w:r>
        <w:rPr>
          <w:rFonts w:cstheme="majorHAnsi"/>
          <w:iCs/>
          <w:color w:val="000000" w:themeColor="text1"/>
          <w:szCs w:val="22"/>
          <w:lang w:val="en-US"/>
        </w:rPr>
        <w:t>T</w:t>
      </w:r>
      <w:r w:rsidR="00AA47C0" w:rsidRPr="00AA47C0">
        <w:rPr>
          <w:rFonts w:cstheme="majorHAnsi"/>
          <w:iCs/>
          <w:color w:val="000000" w:themeColor="text1"/>
          <w:szCs w:val="22"/>
          <w:lang w:val="en-US"/>
        </w:rPr>
        <w:t xml:space="preserve">he legal entity (Member of the ATHEX Securities Market or the ATHEX Alternative Market) under the name of </w:t>
      </w:r>
      <w:r w:rsidR="00AA47C0">
        <w:rPr>
          <w:rFonts w:cs="Arial"/>
          <w:bCs/>
          <w:color w:val="404040" w:themeColor="text1" w:themeTint="BF"/>
          <w:u w:val="dotted"/>
        </w:rPr>
        <w:fldChar w:fldCharType="begin">
          <w:ffData>
            <w:name w:val=""/>
            <w:enabled/>
            <w:calcOnExit w:val="0"/>
            <w:textInput>
              <w:maxLength w:val="1000"/>
            </w:textInput>
          </w:ffData>
        </w:fldChar>
      </w:r>
      <w:r w:rsidR="00AA47C0" w:rsidRPr="00AA47C0">
        <w:rPr>
          <w:rFonts w:cs="Arial"/>
          <w:bCs/>
          <w:color w:val="404040" w:themeColor="text1" w:themeTint="BF"/>
          <w:u w:val="dotted"/>
          <w:lang w:val="en-US"/>
        </w:rPr>
        <w:instrText xml:space="preserve"> FORMTEXT </w:instrText>
      </w:r>
      <w:r w:rsidR="00AA47C0">
        <w:rPr>
          <w:rFonts w:cs="Arial"/>
          <w:bCs/>
          <w:color w:val="404040" w:themeColor="text1" w:themeTint="BF"/>
          <w:u w:val="dotted"/>
        </w:rPr>
      </w:r>
      <w:r w:rsidR="00AA47C0">
        <w:rPr>
          <w:rFonts w:cs="Arial"/>
          <w:bCs/>
          <w:color w:val="404040" w:themeColor="text1" w:themeTint="BF"/>
          <w:u w:val="dotted"/>
        </w:rPr>
        <w:fldChar w:fldCharType="separate"/>
      </w:r>
      <w:r w:rsidR="008B11B9">
        <w:rPr>
          <w:rFonts w:cs="Arial"/>
          <w:bCs/>
          <w:color w:val="404040" w:themeColor="text1" w:themeTint="BF"/>
          <w:u w:val="dotted"/>
        </w:rPr>
        <w:t> </w:t>
      </w:r>
      <w:r w:rsidR="008B11B9">
        <w:rPr>
          <w:rFonts w:cs="Arial"/>
          <w:bCs/>
          <w:color w:val="404040" w:themeColor="text1" w:themeTint="BF"/>
          <w:u w:val="dotted"/>
        </w:rPr>
        <w:t> </w:t>
      </w:r>
      <w:r w:rsidR="008B11B9">
        <w:rPr>
          <w:rFonts w:cs="Arial"/>
          <w:bCs/>
          <w:color w:val="404040" w:themeColor="text1" w:themeTint="BF"/>
          <w:u w:val="dotted"/>
        </w:rPr>
        <w:t> </w:t>
      </w:r>
      <w:r w:rsidR="008B11B9">
        <w:rPr>
          <w:rFonts w:cs="Arial"/>
          <w:bCs/>
          <w:color w:val="404040" w:themeColor="text1" w:themeTint="BF"/>
          <w:u w:val="dotted"/>
        </w:rPr>
        <w:t> </w:t>
      </w:r>
      <w:r w:rsidR="008B11B9">
        <w:rPr>
          <w:rFonts w:cs="Arial"/>
          <w:bCs/>
          <w:color w:val="404040" w:themeColor="text1" w:themeTint="BF"/>
          <w:u w:val="dotted"/>
        </w:rPr>
        <w:t> </w:t>
      </w:r>
      <w:r w:rsidR="00AA47C0">
        <w:rPr>
          <w:rFonts w:cs="Arial"/>
          <w:bCs/>
          <w:color w:val="404040" w:themeColor="text1" w:themeTint="BF"/>
          <w:u w:val="dotted"/>
        </w:rPr>
        <w:fldChar w:fldCharType="end"/>
      </w:r>
      <w:r w:rsidR="00AA47C0" w:rsidRPr="00AA47C0">
        <w:rPr>
          <w:rFonts w:cstheme="majorHAnsi"/>
          <w:iCs/>
          <w:color w:val="000000" w:themeColor="text1"/>
          <w:szCs w:val="22"/>
          <w:lang w:val="en-US"/>
        </w:rPr>
        <w:t xml:space="preserve"> taking into account the applicable provisions, the terms of the Public Offer and the Coordinating Lead Underwriters, the Lead Underwriters and the Underwriters as listed in the Issuer's approved Prospectus, hereby declare that:</w:t>
      </w:r>
    </w:p>
    <w:p w14:paraId="6FA21A83" w14:textId="77777777" w:rsidR="00AA47C0" w:rsidRPr="00AA47C0" w:rsidRDefault="00AA47C0" w:rsidP="00AA47C0">
      <w:pPr>
        <w:pStyle w:val="ListParagraph"/>
        <w:numPr>
          <w:ilvl w:val="0"/>
          <w:numId w:val="3"/>
        </w:numPr>
        <w:autoSpaceDE w:val="0"/>
        <w:autoSpaceDN w:val="0"/>
        <w:adjustRightInd w:val="0"/>
        <w:rPr>
          <w:rFonts w:cstheme="majorHAnsi"/>
          <w:iCs/>
          <w:color w:val="000000" w:themeColor="text1"/>
          <w:szCs w:val="22"/>
          <w:lang w:val="en-US"/>
        </w:rPr>
      </w:pPr>
      <w:r w:rsidRPr="00AA47C0">
        <w:rPr>
          <w:lang w:val="en-US"/>
        </w:rPr>
        <w:t xml:space="preserve">I will participate as an EBB Member in the EBB process conducted by the Coordinators in accordance with the Issuer's Prospectus; </w:t>
      </w:r>
    </w:p>
    <w:p w14:paraId="2CB89922" w14:textId="77777777" w:rsidR="00AA47C0" w:rsidRPr="00AA47C0" w:rsidRDefault="00AA47C0" w:rsidP="00AA47C0">
      <w:pPr>
        <w:pStyle w:val="ListParagraph"/>
        <w:numPr>
          <w:ilvl w:val="0"/>
          <w:numId w:val="3"/>
        </w:numPr>
        <w:autoSpaceDE w:val="0"/>
        <w:autoSpaceDN w:val="0"/>
        <w:adjustRightInd w:val="0"/>
        <w:rPr>
          <w:rFonts w:cstheme="majorHAnsi"/>
          <w:iCs/>
          <w:color w:val="000000" w:themeColor="text1"/>
          <w:szCs w:val="22"/>
          <w:lang w:val="en-US"/>
        </w:rPr>
      </w:pPr>
      <w:r w:rsidRPr="00AA47C0">
        <w:rPr>
          <w:lang w:val="en-US"/>
        </w:rPr>
        <w:t xml:space="preserve">I unconditionally accept the terms of the Rulebook or the Rules of Operation of the Alternative Market, as the case may be, of Decision 34 of the EBB, in particular the Special Conditions for the Provision of Services by an EBB Member, and any agreements I may enter into with the Coordinators; </w:t>
      </w:r>
    </w:p>
    <w:p w14:paraId="446AC110" w14:textId="77777777" w:rsidR="00AA47C0" w:rsidRPr="00AA47C0" w:rsidRDefault="00AA47C0" w:rsidP="00AA47C0">
      <w:pPr>
        <w:pStyle w:val="ListParagraph"/>
        <w:numPr>
          <w:ilvl w:val="0"/>
          <w:numId w:val="3"/>
        </w:numPr>
        <w:autoSpaceDE w:val="0"/>
        <w:autoSpaceDN w:val="0"/>
        <w:adjustRightInd w:val="0"/>
        <w:rPr>
          <w:rFonts w:cstheme="majorHAnsi"/>
          <w:iCs/>
          <w:color w:val="000000" w:themeColor="text1"/>
          <w:szCs w:val="22"/>
          <w:lang w:val="en-US"/>
        </w:rPr>
      </w:pPr>
      <w:r w:rsidRPr="00AA47C0">
        <w:rPr>
          <w:lang w:val="en-US"/>
        </w:rPr>
        <w:t xml:space="preserve">I will comply with my obligations arising from (ii) above; </w:t>
      </w:r>
    </w:p>
    <w:p w14:paraId="0C2F5499" w14:textId="4E7D6E09" w:rsidR="00AA47C0" w:rsidRPr="00AA47C0" w:rsidRDefault="00AA47C0" w:rsidP="00AA47C0">
      <w:pPr>
        <w:pStyle w:val="ListParagraph"/>
        <w:numPr>
          <w:ilvl w:val="0"/>
          <w:numId w:val="3"/>
        </w:numPr>
        <w:autoSpaceDE w:val="0"/>
        <w:autoSpaceDN w:val="0"/>
        <w:adjustRightInd w:val="0"/>
        <w:rPr>
          <w:rFonts w:cstheme="majorHAnsi"/>
          <w:iCs/>
          <w:color w:val="000000" w:themeColor="text1"/>
          <w:szCs w:val="22"/>
          <w:lang w:val="en-US"/>
        </w:rPr>
      </w:pPr>
      <w:r w:rsidRPr="00AA47C0">
        <w:rPr>
          <w:lang w:val="en-US"/>
        </w:rPr>
        <w:t>I consent to the distribution of this Participation Statement by ATHEX to the Coordinator and the Issuer for their knowledge and legal consequences</w:t>
      </w:r>
      <w:r>
        <w:rPr>
          <w:lang w:val="en-US"/>
        </w:rPr>
        <w:t>.</w:t>
      </w:r>
    </w:p>
    <w:sectPr w:rsidR="00AA47C0" w:rsidRPr="00AA47C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C4F2" w14:textId="77777777" w:rsidR="00051C68" w:rsidRDefault="00051C68" w:rsidP="001A5820">
      <w:pPr>
        <w:spacing w:before="0" w:line="240" w:lineRule="auto"/>
      </w:pPr>
      <w:r>
        <w:separator/>
      </w:r>
    </w:p>
  </w:endnote>
  <w:endnote w:type="continuationSeparator" w:id="0">
    <w:p w14:paraId="14EF6909" w14:textId="77777777" w:rsidR="00051C68" w:rsidRDefault="00051C68" w:rsidP="001A58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74C8" w14:textId="77777777" w:rsidR="00051C68" w:rsidRDefault="00051C68" w:rsidP="001A5820">
      <w:pPr>
        <w:spacing w:before="0" w:line="240" w:lineRule="auto"/>
      </w:pPr>
      <w:r>
        <w:separator/>
      </w:r>
    </w:p>
  </w:footnote>
  <w:footnote w:type="continuationSeparator" w:id="0">
    <w:p w14:paraId="5954F8A4" w14:textId="77777777" w:rsidR="00051C68" w:rsidRDefault="00051C68" w:rsidP="001A58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1D3C" w14:textId="7241E71E" w:rsidR="00540A8C" w:rsidRDefault="00AA47C0" w:rsidP="00540A8C">
    <w:pPr>
      <w:pStyle w:val="Header"/>
      <w:jc w:val="center"/>
    </w:pPr>
    <w:r w:rsidRPr="009B2E4A">
      <w:rPr>
        <w:noProof/>
        <w:lang w:eastAsia="el-GR"/>
      </w:rPr>
      <w:drawing>
        <wp:inline distT="0" distB="0" distL="0" distR="0" wp14:anchorId="471C409C" wp14:editId="4EECECB6">
          <wp:extent cx="1092200" cy="1073150"/>
          <wp:effectExtent l="0" t="0" r="0" b="0"/>
          <wp:docPr id="1146647221" name="Picture 1" descr="A silver coin with a head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647221" name="Picture 1" descr="A silver coin with a head of a pers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129"/>
    <w:multiLevelType w:val="hybridMultilevel"/>
    <w:tmpl w:val="F4C4B2B4"/>
    <w:lvl w:ilvl="0" w:tplc="27EAB86A">
      <w:start w:val="1"/>
      <w:numFmt w:val="decimal"/>
      <w:lvlText w:val="%1."/>
      <w:lvlJc w:val="left"/>
      <w:pPr>
        <w:ind w:left="704" w:hanging="420"/>
      </w:pPr>
      <w:rPr>
        <w:rFonts w:hint="default"/>
        <w:color w:val="000000" w:themeColor="text1"/>
      </w:rPr>
    </w:lvl>
    <w:lvl w:ilvl="1" w:tplc="E00CD514">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33F6E44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1C69"/>
    <w:multiLevelType w:val="hybridMultilevel"/>
    <w:tmpl w:val="B35A2746"/>
    <w:lvl w:ilvl="0" w:tplc="27A65BEC">
      <w:start w:val="1"/>
      <w:numFmt w:val="upperRoman"/>
      <w:pStyle w:val="Appendix"/>
      <w:lvlText w:val="ΠΑΡΑΡΤΗΜΑ %1 "/>
      <w:lvlJc w:val="left"/>
      <w:pPr>
        <w:ind w:left="720" w:hanging="360"/>
      </w:pPr>
      <w:rPr>
        <w:rFonts w:hint="default"/>
      </w:rPr>
    </w:lvl>
    <w:lvl w:ilvl="1" w:tplc="8A00CD8C">
      <w:start w:val="1"/>
      <w:numFmt w:val="decimal"/>
      <w:pStyle w:val="Appendix2"/>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D66586"/>
    <w:multiLevelType w:val="hybridMultilevel"/>
    <w:tmpl w:val="0A2ED5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345432">
    <w:abstractNumId w:val="1"/>
  </w:num>
  <w:num w:numId="2" w16cid:durableId="1974211605">
    <w:abstractNumId w:val="0"/>
  </w:num>
  <w:num w:numId="3" w16cid:durableId="61571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5DoLuIgl/17mtJ/BWIcPw7GfhqRWfJW3/AXJcL9AO0i9EGjye+raIZjDvGRQ+PWSRva+QwN7D0A55VBgczNRQ==" w:salt="foM+KUmuXCNjL5QgWaRH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20"/>
    <w:rsid w:val="00046161"/>
    <w:rsid w:val="00051C68"/>
    <w:rsid w:val="00106200"/>
    <w:rsid w:val="00121F79"/>
    <w:rsid w:val="00133D84"/>
    <w:rsid w:val="0017382E"/>
    <w:rsid w:val="001A5820"/>
    <w:rsid w:val="002A3506"/>
    <w:rsid w:val="00385F7C"/>
    <w:rsid w:val="00396291"/>
    <w:rsid w:val="004A0001"/>
    <w:rsid w:val="00540A8C"/>
    <w:rsid w:val="005D13F3"/>
    <w:rsid w:val="00627324"/>
    <w:rsid w:val="00696112"/>
    <w:rsid w:val="00745B4F"/>
    <w:rsid w:val="00846E90"/>
    <w:rsid w:val="008B11B9"/>
    <w:rsid w:val="008F20EC"/>
    <w:rsid w:val="00A63A46"/>
    <w:rsid w:val="00AA29D4"/>
    <w:rsid w:val="00AA47C0"/>
    <w:rsid w:val="00B178E2"/>
    <w:rsid w:val="00C862E1"/>
    <w:rsid w:val="00CB08E0"/>
    <w:rsid w:val="00D07D28"/>
    <w:rsid w:val="00D112D6"/>
    <w:rsid w:val="00DC60E0"/>
    <w:rsid w:val="00E52DBF"/>
    <w:rsid w:val="00F05835"/>
    <w:rsid w:val="00F059D7"/>
    <w:rsid w:val="00F3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BB4C9"/>
  <w15:chartTrackingRefBased/>
  <w15:docId w15:val="{ECC8D7A8-4620-43F6-9116-9E605AE0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20"/>
    <w:pPr>
      <w:spacing w:before="240" w:after="0" w:line="360" w:lineRule="auto"/>
      <w:jc w:val="both"/>
    </w:pPr>
    <w:rPr>
      <w:rFonts w:asciiTheme="majorHAnsi" w:eastAsia="Times New Roman" w:hAnsiTheme="majorHAnsi" w:cs="Times New Roman"/>
      <w:snapToGrid w:val="0"/>
      <w:kern w:val="0"/>
      <w:szCs w:val="20"/>
      <w:lang w:val="el-GR"/>
      <w14:ligatures w14:val="none"/>
    </w:rPr>
  </w:style>
  <w:style w:type="paragraph" w:styleId="Heading2">
    <w:name w:val="heading 2"/>
    <w:basedOn w:val="Normal"/>
    <w:next w:val="Normal"/>
    <w:link w:val="Heading2Char"/>
    <w:uiPriority w:val="9"/>
    <w:semiHidden/>
    <w:unhideWhenUsed/>
    <w:qFormat/>
    <w:rsid w:val="001A5820"/>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820"/>
    <w:pPr>
      <w:tabs>
        <w:tab w:val="center" w:pos="4320"/>
        <w:tab w:val="right" w:pos="8640"/>
      </w:tabs>
      <w:spacing w:line="240" w:lineRule="auto"/>
    </w:pPr>
  </w:style>
  <w:style w:type="character" w:customStyle="1" w:styleId="HeaderChar">
    <w:name w:val="Header Char"/>
    <w:basedOn w:val="DefaultParagraphFont"/>
    <w:link w:val="Header"/>
    <w:uiPriority w:val="99"/>
    <w:rsid w:val="001A5820"/>
  </w:style>
  <w:style w:type="paragraph" w:styleId="Footer">
    <w:name w:val="footer"/>
    <w:basedOn w:val="Normal"/>
    <w:link w:val="FooterChar"/>
    <w:uiPriority w:val="99"/>
    <w:unhideWhenUsed/>
    <w:rsid w:val="001A5820"/>
    <w:pPr>
      <w:tabs>
        <w:tab w:val="center" w:pos="4320"/>
        <w:tab w:val="right" w:pos="8640"/>
      </w:tabs>
      <w:spacing w:line="240" w:lineRule="auto"/>
    </w:pPr>
  </w:style>
  <w:style w:type="character" w:customStyle="1" w:styleId="FooterChar">
    <w:name w:val="Footer Char"/>
    <w:basedOn w:val="DefaultParagraphFont"/>
    <w:link w:val="Footer"/>
    <w:uiPriority w:val="99"/>
    <w:rsid w:val="001A5820"/>
  </w:style>
  <w:style w:type="character" w:styleId="Hyperlink">
    <w:name w:val="Hyperlink"/>
    <w:rsid w:val="001A5820"/>
    <w:rPr>
      <w:rFonts w:cs="Times New Roman"/>
      <w:color w:val="0000FF"/>
      <w:u w:val="single"/>
    </w:rPr>
  </w:style>
  <w:style w:type="paragraph" w:styleId="ListParagraph">
    <w:name w:val="List Paragraph"/>
    <w:basedOn w:val="Normal"/>
    <w:uiPriority w:val="34"/>
    <w:qFormat/>
    <w:rsid w:val="001A5820"/>
    <w:pPr>
      <w:ind w:left="720"/>
      <w:contextualSpacing/>
    </w:pPr>
  </w:style>
  <w:style w:type="paragraph" w:customStyle="1" w:styleId="Appendix">
    <w:name w:val="Appendix"/>
    <w:basedOn w:val="Heading2"/>
    <w:next w:val="Normal"/>
    <w:qFormat/>
    <w:rsid w:val="001A5820"/>
    <w:pPr>
      <w:keepLines w:val="0"/>
      <w:pageBreakBefore/>
      <w:numPr>
        <w:numId w:val="1"/>
      </w:numPr>
      <w:tabs>
        <w:tab w:val="num" w:pos="360"/>
      </w:tabs>
      <w:spacing w:before="480" w:after="360"/>
      <w:ind w:left="1842" w:hanging="1916"/>
    </w:pPr>
    <w:rPr>
      <w:rFonts w:eastAsia="Times New Roman" w:cstheme="minorBidi"/>
      <w:b/>
      <w:color w:val="auto"/>
      <w:sz w:val="28"/>
      <w:szCs w:val="22"/>
    </w:rPr>
  </w:style>
  <w:style w:type="paragraph" w:customStyle="1" w:styleId="Appendix2">
    <w:name w:val="Appendix2"/>
    <w:basedOn w:val="Appendix"/>
    <w:qFormat/>
    <w:rsid w:val="001A5820"/>
    <w:pPr>
      <w:pageBreakBefore w:val="0"/>
      <w:numPr>
        <w:ilvl w:val="1"/>
      </w:numPr>
      <w:tabs>
        <w:tab w:val="num" w:pos="360"/>
      </w:tabs>
    </w:pPr>
  </w:style>
  <w:style w:type="character" w:customStyle="1" w:styleId="Heading2Char">
    <w:name w:val="Heading 2 Char"/>
    <w:basedOn w:val="DefaultParagraphFont"/>
    <w:link w:val="Heading2"/>
    <w:uiPriority w:val="9"/>
    <w:semiHidden/>
    <w:rsid w:val="001A5820"/>
    <w:rPr>
      <w:rFonts w:asciiTheme="majorHAnsi" w:eastAsiaTheme="majorEastAsia" w:hAnsiTheme="majorHAnsi" w:cstheme="majorBidi"/>
      <w:snapToGrid w:val="0"/>
      <w:color w:val="2F5496" w:themeColor="accent1" w:themeShade="BF"/>
      <w:kern w:val="0"/>
      <w:sz w:val="26"/>
      <w:szCs w:val="26"/>
      <w:lang w:val="el-GR"/>
      <w14:ligatures w14:val="none"/>
    </w:rPr>
  </w:style>
  <w:style w:type="character" w:styleId="PlaceholderText">
    <w:name w:val="Placeholder Text"/>
    <w:basedOn w:val="DefaultParagraphFont"/>
    <w:uiPriority w:val="99"/>
    <w:semiHidden/>
    <w:rsid w:val="00540A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mbers-support@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a759ed69-6ff0-492f-9e90-8239c39e63f6"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FED8-B01C-453A-86D7-C6CC42224E3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77118D-280D-4A82-99DF-355B574D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Thanasia</dc:creator>
  <cp:keywords>ΔΗΜΟΣΙΟ (PUBLIC)ΕΛΛΗΝΙΚΗ (GREEK)</cp:keywords>
  <dc:description/>
  <cp:lastModifiedBy>Marinos, Antonios</cp:lastModifiedBy>
  <cp:revision>14</cp:revision>
  <dcterms:created xsi:type="dcterms:W3CDTF">2023-10-18T21:45:00Z</dcterms:created>
  <dcterms:modified xsi:type="dcterms:W3CDTF">2024-05-27T09:42:00Z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cfa3af6f-8b81-47ee-97d8-db67f9567e2b</vt:lpwstr>
  </property>
  <property fmtid="{D5CDD505-2E9C-101B-9397-08002B2CF9AE}" pid="3" name="bjClsUserRVM">
    <vt:lpwstr>[]</vt:lpwstr>
  </property>
  <property fmtid="{D5CDD505-2E9C-101B-9397-08002B2CF9AE}" pid="4" name="bjSaver">
    <vt:lpwstr>kTNCeHsBsBWp4A2kggDbimOEzknfMqOC</vt:lpwstr>
  </property>
  <property fmtid="{D5CDD505-2E9C-101B-9397-08002B2CF9AE}" pid="5"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6" name="bjDocumentLabelXML-0">
    <vt:lpwstr>ames.com/2008/01/sie/internal/label"&gt;&lt;element uid="8f474eef-e083-4422-b797-1a6717904cd3" value="" /&gt;&lt;element uid="a759ed69-6ff0-492f-9e90-8239c39e63f6" value="" /&gt;&lt;/sisl&gt;</vt:lpwstr>
  </property>
  <property fmtid="{D5CDD505-2E9C-101B-9397-08002B2CF9AE}" pid="7" name="bjDocumentSecurityLabel">
    <vt:lpwstr>ΔΗΜΟΣΙΟ (PUBLIC)</vt:lpwstr>
  </property>
</Properties>
</file>