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D51C6" w14:textId="77777777" w:rsidR="00300DEF" w:rsidRDefault="00300DEF" w:rsidP="00300DEF">
      <w:pPr>
        <w:jc w:val="right"/>
      </w:pPr>
    </w:p>
    <w:p w14:paraId="20D84781" w14:textId="77777777" w:rsidR="00300DEF" w:rsidRDefault="00300DEF" w:rsidP="00300DEF">
      <w:pPr>
        <w:jc w:val="right"/>
      </w:pPr>
    </w:p>
    <w:p w14:paraId="23E103F4" w14:textId="4D0701AE" w:rsidR="00300DEF" w:rsidRPr="00333449" w:rsidRDefault="00300DEF" w:rsidP="00300DEF">
      <w:pPr>
        <w:jc w:val="right"/>
        <w:rPr>
          <w:rFonts w:ascii="Verdana" w:hAnsi="Verdana"/>
          <w:sz w:val="20"/>
          <w:szCs w:val="20"/>
        </w:rPr>
      </w:pPr>
      <w:r w:rsidRPr="00333449">
        <w:rPr>
          <w:rFonts w:ascii="Verdana" w:hAnsi="Verdana"/>
          <w:sz w:val="20"/>
          <w:szCs w:val="20"/>
        </w:rPr>
        <w:t xml:space="preserve">Αθήνα, 23 Σεπτεμβρίου 2022 </w:t>
      </w:r>
    </w:p>
    <w:p w14:paraId="3D9FAAE0" w14:textId="29AB39CD" w:rsidR="00300DEF" w:rsidRPr="00333449" w:rsidRDefault="00300DEF" w:rsidP="00300DEF">
      <w:pPr>
        <w:autoSpaceDE w:val="0"/>
        <w:autoSpaceDN w:val="0"/>
        <w:adjustRightInd w:val="0"/>
        <w:spacing w:after="160" w:line="259" w:lineRule="auto"/>
        <w:ind w:right="334"/>
        <w:rPr>
          <w:rFonts w:ascii="Verdana" w:hAnsi="Verdana" w:cstheme="minorHAnsi"/>
          <w:b/>
          <w:bCs/>
          <w:sz w:val="20"/>
          <w:szCs w:val="20"/>
        </w:rPr>
      </w:pPr>
    </w:p>
    <w:p w14:paraId="0E3FE092" w14:textId="04182979" w:rsidR="002F379B" w:rsidRPr="00333449" w:rsidRDefault="002F379B" w:rsidP="00F74D51">
      <w:pPr>
        <w:autoSpaceDE w:val="0"/>
        <w:autoSpaceDN w:val="0"/>
        <w:adjustRightInd w:val="0"/>
        <w:spacing w:after="160" w:line="259" w:lineRule="auto"/>
        <w:ind w:right="334"/>
        <w:jc w:val="center"/>
        <w:rPr>
          <w:rFonts w:ascii="Verdana" w:hAnsi="Verdana" w:cstheme="minorHAnsi"/>
          <w:b/>
          <w:bCs/>
          <w:sz w:val="20"/>
          <w:szCs w:val="20"/>
        </w:rPr>
      </w:pPr>
      <w:r w:rsidRPr="00333449">
        <w:rPr>
          <w:rFonts w:ascii="Verdana" w:hAnsi="Verdana" w:cstheme="minorHAnsi"/>
          <w:b/>
          <w:bCs/>
          <w:sz w:val="20"/>
          <w:szCs w:val="20"/>
        </w:rPr>
        <w:t xml:space="preserve">Οικονομικά Αποτελέσματα </w:t>
      </w:r>
      <w:r w:rsidR="008B36A8" w:rsidRPr="00333449">
        <w:rPr>
          <w:rFonts w:ascii="Verdana" w:hAnsi="Verdana" w:cstheme="minorHAnsi"/>
          <w:b/>
          <w:bCs/>
          <w:sz w:val="20"/>
          <w:szCs w:val="20"/>
        </w:rPr>
        <w:t>Α</w:t>
      </w:r>
      <w:r w:rsidR="00755B74" w:rsidRPr="00333449">
        <w:rPr>
          <w:rFonts w:ascii="Verdana" w:hAnsi="Verdana" w:cstheme="minorHAnsi"/>
          <w:b/>
          <w:bCs/>
          <w:sz w:val="20"/>
          <w:szCs w:val="20"/>
        </w:rPr>
        <w:t>΄</w:t>
      </w:r>
      <w:r w:rsidR="008B36A8" w:rsidRPr="00333449">
        <w:rPr>
          <w:rFonts w:ascii="Verdana" w:hAnsi="Verdana" w:cstheme="minorHAnsi"/>
          <w:b/>
          <w:bCs/>
          <w:sz w:val="20"/>
          <w:szCs w:val="20"/>
        </w:rPr>
        <w:t xml:space="preserve"> Εξαμήνου 2022</w:t>
      </w:r>
    </w:p>
    <w:p w14:paraId="0FBF4E2F" w14:textId="3A76584F" w:rsidR="002F379B" w:rsidRPr="00333449" w:rsidRDefault="00755B74" w:rsidP="00333449">
      <w:pPr>
        <w:autoSpaceDE w:val="0"/>
        <w:autoSpaceDN w:val="0"/>
        <w:adjustRightInd w:val="0"/>
        <w:spacing w:after="160" w:line="259" w:lineRule="auto"/>
        <w:ind w:left="1440" w:right="334"/>
        <w:rPr>
          <w:rFonts w:ascii="Verdana" w:hAnsi="Verdana" w:cstheme="minorHAnsi"/>
          <w:b/>
          <w:bCs/>
          <w:sz w:val="20"/>
          <w:szCs w:val="20"/>
        </w:rPr>
      </w:pPr>
      <w:r w:rsidRPr="00333449">
        <w:rPr>
          <w:rFonts w:ascii="Verdana" w:hAnsi="Verdana" w:cstheme="minorHAnsi"/>
          <w:b/>
          <w:bCs/>
          <w:sz w:val="20"/>
          <w:szCs w:val="20"/>
        </w:rPr>
        <w:t xml:space="preserve"> </w:t>
      </w:r>
      <w:r w:rsidR="00333449" w:rsidRPr="00333449">
        <w:rPr>
          <w:rFonts w:ascii="Verdana" w:hAnsi="Verdana" w:cstheme="minorHAnsi"/>
          <w:b/>
          <w:bCs/>
          <w:sz w:val="20"/>
          <w:szCs w:val="20"/>
        </w:rPr>
        <w:t xml:space="preserve">   </w:t>
      </w:r>
      <w:r w:rsidRPr="00333449">
        <w:rPr>
          <w:rFonts w:ascii="Verdana" w:hAnsi="Verdana" w:cstheme="minorHAnsi"/>
          <w:b/>
          <w:bCs/>
          <w:sz w:val="20"/>
          <w:szCs w:val="20"/>
        </w:rPr>
        <w:t>Η ΕΥΔΑΠ επιδεικνύει σταθερότητα παρά την κρίση</w:t>
      </w:r>
    </w:p>
    <w:p w14:paraId="39270A83" w14:textId="77777777" w:rsidR="002F379B" w:rsidRPr="00333449" w:rsidRDefault="002F379B" w:rsidP="002F379B">
      <w:pPr>
        <w:autoSpaceDE w:val="0"/>
        <w:autoSpaceDN w:val="0"/>
        <w:adjustRightInd w:val="0"/>
        <w:spacing w:after="160" w:line="259" w:lineRule="auto"/>
        <w:ind w:left="720" w:right="334"/>
        <w:rPr>
          <w:rFonts w:ascii="Verdana" w:hAnsi="Verdana" w:cstheme="minorHAnsi"/>
          <w:sz w:val="20"/>
          <w:szCs w:val="20"/>
        </w:rPr>
      </w:pPr>
    </w:p>
    <w:p w14:paraId="269CB3C2" w14:textId="532D8560" w:rsidR="00B94EC2" w:rsidRPr="00333449" w:rsidRDefault="00716D84" w:rsidP="002F379B">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 xml:space="preserve">Κατά το  πρώτο εξάμηνο του 2022 η Εταιρεία λειτούργησε με τους όρους που ορίζει η </w:t>
      </w:r>
      <w:r w:rsidR="00453274" w:rsidRPr="00333449">
        <w:rPr>
          <w:rFonts w:ascii="Verdana" w:hAnsi="Verdana" w:cstheme="minorHAnsi"/>
          <w:sz w:val="20"/>
          <w:szCs w:val="20"/>
        </w:rPr>
        <w:t xml:space="preserve">νέα σύμβαση </w:t>
      </w:r>
      <w:r w:rsidR="004E6700" w:rsidRPr="00333449">
        <w:rPr>
          <w:rFonts w:ascii="Verdana" w:hAnsi="Verdana" w:cstheme="minorHAnsi"/>
          <w:sz w:val="20"/>
          <w:szCs w:val="20"/>
        </w:rPr>
        <w:t xml:space="preserve">με το Ελληνικό Δημόσιο, </w:t>
      </w:r>
      <w:r w:rsidR="00453274" w:rsidRPr="00333449">
        <w:rPr>
          <w:rFonts w:ascii="Verdana" w:hAnsi="Verdana" w:cstheme="minorHAnsi"/>
          <w:sz w:val="20"/>
          <w:szCs w:val="20"/>
        </w:rPr>
        <w:t xml:space="preserve">αντιμετωπίζοντας παράλληλα </w:t>
      </w:r>
      <w:r w:rsidR="00671725" w:rsidRPr="00333449">
        <w:rPr>
          <w:rFonts w:ascii="Verdana" w:hAnsi="Verdana" w:cstheme="minorHAnsi"/>
          <w:sz w:val="20"/>
          <w:szCs w:val="20"/>
        </w:rPr>
        <w:t>τις δυσμενείς καταστάσεις που δημιουργήθηκαν από την γεωπολιτική και ενεργειακή κρίση.</w:t>
      </w:r>
      <w:r w:rsidR="000678D6" w:rsidRPr="00333449">
        <w:rPr>
          <w:rFonts w:ascii="Verdana" w:hAnsi="Verdana" w:cstheme="minorHAnsi"/>
          <w:sz w:val="20"/>
          <w:szCs w:val="20"/>
        </w:rPr>
        <w:t xml:space="preserve"> </w:t>
      </w:r>
      <w:r w:rsidR="00B94EC2" w:rsidRPr="00333449">
        <w:rPr>
          <w:rFonts w:ascii="Verdana" w:hAnsi="Verdana" w:cstheme="minorHAnsi"/>
          <w:sz w:val="20"/>
          <w:szCs w:val="20"/>
        </w:rPr>
        <w:t xml:space="preserve">Η Εταιρεία επιτάχυνε </w:t>
      </w:r>
      <w:r w:rsidR="00D65978" w:rsidRPr="00333449">
        <w:rPr>
          <w:rFonts w:ascii="Verdana" w:hAnsi="Verdana" w:cstheme="minorHAnsi"/>
          <w:sz w:val="20"/>
          <w:szCs w:val="20"/>
        </w:rPr>
        <w:t>το επενδυτικό</w:t>
      </w:r>
      <w:r w:rsidR="004E6700" w:rsidRPr="00333449">
        <w:rPr>
          <w:rFonts w:ascii="Verdana" w:hAnsi="Verdana" w:cstheme="minorHAnsi"/>
          <w:sz w:val="20"/>
          <w:szCs w:val="20"/>
        </w:rPr>
        <w:t xml:space="preserve"> της πρόγραμμα</w:t>
      </w:r>
      <w:r w:rsidR="00D65978" w:rsidRPr="00333449">
        <w:rPr>
          <w:rFonts w:ascii="Verdana" w:hAnsi="Verdana" w:cstheme="minorHAnsi"/>
          <w:sz w:val="20"/>
          <w:szCs w:val="20"/>
        </w:rPr>
        <w:t>, προχωρώντας ταυτόχρονα τα έργα μετασχηματισμού της με στόχο την ψηφιακή και πράσινη μετάβαση.</w:t>
      </w:r>
    </w:p>
    <w:p w14:paraId="3D2FC2C4" w14:textId="77777777" w:rsidR="00B94EC2" w:rsidRPr="00333449" w:rsidRDefault="00B94EC2" w:rsidP="002F379B">
      <w:pPr>
        <w:autoSpaceDE w:val="0"/>
        <w:autoSpaceDN w:val="0"/>
        <w:adjustRightInd w:val="0"/>
        <w:spacing w:line="276" w:lineRule="auto"/>
        <w:ind w:right="334"/>
        <w:jc w:val="both"/>
        <w:rPr>
          <w:rFonts w:ascii="Verdana" w:hAnsi="Verdana" w:cstheme="minorHAnsi"/>
          <w:sz w:val="20"/>
          <w:szCs w:val="20"/>
        </w:rPr>
      </w:pPr>
    </w:p>
    <w:p w14:paraId="10A90152" w14:textId="3AEB6218" w:rsidR="00671725" w:rsidRPr="00333449" w:rsidRDefault="00D65978" w:rsidP="002F379B">
      <w:pPr>
        <w:autoSpaceDE w:val="0"/>
        <w:autoSpaceDN w:val="0"/>
        <w:adjustRightInd w:val="0"/>
        <w:spacing w:line="276" w:lineRule="auto"/>
        <w:ind w:right="334"/>
        <w:jc w:val="both"/>
        <w:rPr>
          <w:rFonts w:ascii="Verdana" w:hAnsi="Verdana" w:cstheme="minorHAnsi"/>
          <w:bCs/>
          <w:sz w:val="20"/>
          <w:szCs w:val="20"/>
        </w:rPr>
      </w:pPr>
      <w:r w:rsidRPr="00333449">
        <w:rPr>
          <w:rFonts w:ascii="Verdana" w:hAnsi="Verdana" w:cstheme="minorHAnsi"/>
          <w:bCs/>
          <w:sz w:val="20"/>
          <w:szCs w:val="20"/>
        </w:rPr>
        <w:t xml:space="preserve">Η συνολική κατανάλωση στο Α΄ εξάμηνο του 2022 παρουσίασε μείωση κατά -2,2% έναντι του αντίστοιχου περσινού Α΄ εξαμήνου του 2021, </w:t>
      </w:r>
      <w:r w:rsidR="001B5459" w:rsidRPr="00333449">
        <w:rPr>
          <w:rFonts w:ascii="Verdana" w:hAnsi="Verdana" w:cstheme="minorHAnsi"/>
          <w:bCs/>
          <w:sz w:val="20"/>
          <w:szCs w:val="20"/>
        </w:rPr>
        <w:t xml:space="preserve">μείωση η οποία είναι </w:t>
      </w:r>
      <w:r w:rsidRPr="00333449">
        <w:rPr>
          <w:rFonts w:ascii="Verdana" w:hAnsi="Verdana" w:cstheme="minorHAnsi"/>
          <w:bCs/>
          <w:sz w:val="20"/>
          <w:szCs w:val="20"/>
        </w:rPr>
        <w:t xml:space="preserve">μέσα στα όρια των αυξομειώσεων που παρατηρούνται διαχρονικά. </w:t>
      </w:r>
      <w:r w:rsidR="001B5459" w:rsidRPr="00333449">
        <w:rPr>
          <w:rFonts w:ascii="Verdana" w:hAnsi="Verdana" w:cstheme="minorHAnsi"/>
          <w:bCs/>
          <w:sz w:val="20"/>
          <w:szCs w:val="20"/>
        </w:rPr>
        <w:t>Αντίθετα η τιμολογημένη κατανάλωση σημείωσε αύξηση της τάξεως του 21,7%</w:t>
      </w:r>
      <w:r w:rsidR="003808C5" w:rsidRPr="00333449">
        <w:rPr>
          <w:rFonts w:ascii="Verdana" w:hAnsi="Verdana" w:cstheme="minorHAnsi"/>
          <w:bCs/>
          <w:sz w:val="20"/>
          <w:szCs w:val="20"/>
        </w:rPr>
        <w:t xml:space="preserve">, κυρίως λόγω της σταδιακής εξομάλυνσης της έκδοσης και διανομής λογαριασμών υδροληψίας. </w:t>
      </w:r>
    </w:p>
    <w:p w14:paraId="7BD445B5" w14:textId="77777777" w:rsidR="00A902FE" w:rsidRPr="00333449" w:rsidRDefault="00A902FE" w:rsidP="002F379B">
      <w:pPr>
        <w:autoSpaceDE w:val="0"/>
        <w:autoSpaceDN w:val="0"/>
        <w:adjustRightInd w:val="0"/>
        <w:spacing w:line="276" w:lineRule="auto"/>
        <w:ind w:right="334"/>
        <w:jc w:val="both"/>
        <w:rPr>
          <w:rFonts w:ascii="Verdana" w:hAnsi="Verdana" w:cstheme="minorHAnsi"/>
          <w:sz w:val="20"/>
          <w:szCs w:val="20"/>
        </w:rPr>
      </w:pPr>
    </w:p>
    <w:p w14:paraId="731F0450" w14:textId="1B4B11C3" w:rsidR="003808C5" w:rsidRPr="00333449" w:rsidRDefault="00A902FE" w:rsidP="002F379B">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Ο κύκλος εργασιών κατά το πρώτο εξάμηνο του 2022 παρουσί</w:t>
      </w:r>
      <w:r w:rsidR="002F66BF">
        <w:rPr>
          <w:rFonts w:ascii="Verdana" w:hAnsi="Verdana" w:cstheme="minorHAnsi"/>
          <w:sz w:val="20"/>
          <w:szCs w:val="20"/>
        </w:rPr>
        <w:t>ασε αύξηση κατά 5% ή +7,8 εκατ.</w:t>
      </w:r>
      <w:r w:rsidRPr="00333449">
        <w:rPr>
          <w:rFonts w:ascii="Verdana" w:hAnsi="Verdana" w:cstheme="minorHAnsi"/>
          <w:sz w:val="20"/>
          <w:szCs w:val="20"/>
        </w:rPr>
        <w:t>€ κ</w:t>
      </w:r>
      <w:r w:rsidR="002F66BF">
        <w:rPr>
          <w:rFonts w:ascii="Verdana" w:hAnsi="Verdana" w:cstheme="minorHAnsi"/>
          <w:sz w:val="20"/>
          <w:szCs w:val="20"/>
        </w:rPr>
        <w:t>αι διαμορφώθηκε στα 163,9 εκατ.</w:t>
      </w:r>
      <w:r w:rsidRPr="00333449">
        <w:rPr>
          <w:rFonts w:ascii="Verdana" w:hAnsi="Verdana" w:cstheme="minorHAnsi"/>
          <w:sz w:val="20"/>
          <w:szCs w:val="20"/>
        </w:rPr>
        <w:t>€ από 156 εκα</w:t>
      </w:r>
      <w:r w:rsidR="002F66BF">
        <w:rPr>
          <w:rFonts w:ascii="Verdana" w:hAnsi="Verdana" w:cstheme="minorHAnsi"/>
          <w:sz w:val="20"/>
          <w:szCs w:val="20"/>
        </w:rPr>
        <w:t>τ.</w:t>
      </w:r>
      <w:r w:rsidRPr="00333449">
        <w:rPr>
          <w:rFonts w:ascii="Verdana" w:hAnsi="Verdana" w:cstheme="minorHAnsi"/>
          <w:sz w:val="20"/>
          <w:szCs w:val="20"/>
        </w:rPr>
        <w:t xml:space="preserve">€ το αντίστοιχο </w:t>
      </w:r>
      <w:r w:rsidR="002F66BF">
        <w:rPr>
          <w:rFonts w:ascii="Verdana" w:hAnsi="Verdana" w:cstheme="minorHAnsi"/>
          <w:sz w:val="20"/>
          <w:szCs w:val="20"/>
        </w:rPr>
        <w:t>εξάμηνο του 2021. Τα 12,5 εκατ.</w:t>
      </w:r>
      <w:bookmarkStart w:id="0" w:name="_GoBack"/>
      <w:bookmarkEnd w:id="0"/>
      <w:r w:rsidRPr="00333449">
        <w:rPr>
          <w:rFonts w:ascii="Verdana" w:hAnsi="Verdana" w:cstheme="minorHAnsi"/>
          <w:sz w:val="20"/>
          <w:szCs w:val="20"/>
        </w:rPr>
        <w:t xml:space="preserve">(για το εξάμηνο του 2022 και 25 εκατ. συνολικά ετησίως) από την αύξηση αυτή, οφείλονται στο έσοδο από τη Σύμβαση Λειτουργίας και Συντήρησης του Εξωτερικού Υδροδοτικού </w:t>
      </w:r>
      <w:r w:rsidR="000F28E5" w:rsidRPr="00333449">
        <w:rPr>
          <w:rFonts w:ascii="Verdana" w:hAnsi="Verdana" w:cstheme="minorHAnsi"/>
          <w:sz w:val="20"/>
          <w:szCs w:val="20"/>
        </w:rPr>
        <w:t>Συστήματος</w:t>
      </w:r>
      <w:r w:rsidRPr="00333449">
        <w:rPr>
          <w:rFonts w:ascii="Verdana" w:hAnsi="Verdana" w:cstheme="minorHAnsi"/>
          <w:sz w:val="20"/>
          <w:szCs w:val="20"/>
        </w:rPr>
        <w:t xml:space="preserve"> (που ανήκει στην ΕΥΔΑΠ Παγίων) σύμφωνα με τη σχετική σύμβαση που έχει συναφθεί.</w:t>
      </w:r>
    </w:p>
    <w:p w14:paraId="3EA45073" w14:textId="77777777" w:rsidR="00671725" w:rsidRPr="00333449" w:rsidRDefault="00671725" w:rsidP="002F379B">
      <w:pPr>
        <w:autoSpaceDE w:val="0"/>
        <w:autoSpaceDN w:val="0"/>
        <w:adjustRightInd w:val="0"/>
        <w:spacing w:line="276" w:lineRule="auto"/>
        <w:ind w:right="334"/>
        <w:jc w:val="both"/>
        <w:rPr>
          <w:rFonts w:ascii="Verdana" w:hAnsi="Verdana" w:cstheme="minorHAnsi"/>
          <w:sz w:val="20"/>
          <w:szCs w:val="20"/>
        </w:rPr>
      </w:pPr>
    </w:p>
    <w:p w14:paraId="3FE65E20" w14:textId="760A9B0F" w:rsidR="000F28E5" w:rsidRPr="00333449" w:rsidRDefault="000F28E5" w:rsidP="000F28E5">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Το λειτουργικό κόστος</w:t>
      </w:r>
      <w:r w:rsidR="00A31AF2" w:rsidRPr="00333449">
        <w:rPr>
          <w:rFonts w:ascii="Verdana" w:hAnsi="Verdana" w:cstheme="minorHAnsi"/>
          <w:sz w:val="20"/>
          <w:szCs w:val="20"/>
        </w:rPr>
        <w:t xml:space="preserve"> (κόστος πωληθέντων, έξοδα διοίκησης, έξοδα διάθεσης και απομείωση χρηματοοικονομικών περιουσιακών στοιχείων)</w:t>
      </w:r>
      <w:r w:rsidRPr="00333449">
        <w:rPr>
          <w:rFonts w:ascii="Verdana" w:hAnsi="Verdana" w:cstheme="minorHAnsi"/>
          <w:sz w:val="20"/>
          <w:szCs w:val="20"/>
        </w:rPr>
        <w:t xml:space="preserve"> διαμορφώθηκε στα 148,5 εκατ. €, σημειώνοντας αύξηση, κατ</w:t>
      </w:r>
      <w:r w:rsidR="00A31AF2" w:rsidRPr="00333449">
        <w:rPr>
          <w:rFonts w:ascii="Verdana" w:hAnsi="Verdana" w:cstheme="minorHAnsi"/>
          <w:sz w:val="20"/>
          <w:szCs w:val="20"/>
        </w:rPr>
        <w:t>ά περίπου 6,8% (ή +9,5 εκατ. €),</w:t>
      </w:r>
      <w:r w:rsidRPr="00333449">
        <w:rPr>
          <w:rFonts w:ascii="Verdana" w:hAnsi="Verdana" w:cstheme="minorHAnsi"/>
          <w:sz w:val="20"/>
          <w:szCs w:val="20"/>
        </w:rPr>
        <w:t xml:space="preserve"> κυρίως </w:t>
      </w:r>
      <w:r w:rsidR="0021247A" w:rsidRPr="00333449">
        <w:rPr>
          <w:rFonts w:ascii="Verdana" w:hAnsi="Verdana" w:cstheme="minorHAnsi"/>
          <w:sz w:val="20"/>
          <w:szCs w:val="20"/>
        </w:rPr>
        <w:t>λόγω της αύξησης του ενεργειακού κόστους κατά 8,5 εκατ. € και</w:t>
      </w:r>
      <w:r w:rsidRPr="00333449">
        <w:rPr>
          <w:rFonts w:ascii="Verdana" w:hAnsi="Verdana" w:cstheme="minorHAnsi"/>
          <w:sz w:val="20"/>
          <w:szCs w:val="20"/>
        </w:rPr>
        <w:t xml:space="preserve"> </w:t>
      </w:r>
      <w:r w:rsidR="0031320F" w:rsidRPr="00333449">
        <w:rPr>
          <w:rFonts w:ascii="Verdana" w:hAnsi="Verdana" w:cstheme="minorHAnsi"/>
          <w:sz w:val="20"/>
          <w:szCs w:val="20"/>
        </w:rPr>
        <w:t>της αύξησης του κόστους του αδιύλιστου νερού κατά 9,6</w:t>
      </w:r>
      <w:r w:rsidR="00755B74" w:rsidRPr="00333449">
        <w:rPr>
          <w:rFonts w:ascii="Verdana" w:hAnsi="Verdana" w:cstheme="minorHAnsi"/>
          <w:sz w:val="20"/>
          <w:szCs w:val="20"/>
        </w:rPr>
        <w:t xml:space="preserve"> εκατ. </w:t>
      </w:r>
      <w:r w:rsidR="0031320F" w:rsidRPr="00333449">
        <w:rPr>
          <w:rFonts w:ascii="Verdana" w:hAnsi="Verdana" w:cstheme="minorHAnsi"/>
          <w:sz w:val="20"/>
          <w:szCs w:val="20"/>
        </w:rPr>
        <w:t xml:space="preserve">€, αποτέλεσμα </w:t>
      </w:r>
      <w:r w:rsidR="00A31AF2" w:rsidRPr="00333449">
        <w:rPr>
          <w:rFonts w:ascii="Verdana" w:hAnsi="Verdana" w:cstheme="minorHAnsi"/>
          <w:sz w:val="20"/>
          <w:szCs w:val="20"/>
        </w:rPr>
        <w:t>των υποχρεώσεων που απορρέουν από την υπογραφή τ</w:t>
      </w:r>
      <w:r w:rsidR="0031320F" w:rsidRPr="00333449">
        <w:rPr>
          <w:rFonts w:ascii="Verdana" w:hAnsi="Verdana" w:cstheme="minorHAnsi"/>
          <w:sz w:val="20"/>
          <w:szCs w:val="20"/>
        </w:rPr>
        <w:t>ης σύμβασης με την ΕΥΔΑΠ Παγίων.</w:t>
      </w:r>
    </w:p>
    <w:p w14:paraId="6C0008DB" w14:textId="77777777" w:rsidR="00E53565" w:rsidRPr="00333449" w:rsidRDefault="00E53565" w:rsidP="002F379B">
      <w:pPr>
        <w:autoSpaceDE w:val="0"/>
        <w:autoSpaceDN w:val="0"/>
        <w:adjustRightInd w:val="0"/>
        <w:spacing w:line="276" w:lineRule="auto"/>
        <w:ind w:right="334"/>
        <w:jc w:val="both"/>
        <w:rPr>
          <w:rFonts w:ascii="Verdana" w:hAnsi="Verdana" w:cstheme="minorHAnsi"/>
          <w:sz w:val="20"/>
          <w:szCs w:val="20"/>
        </w:rPr>
      </w:pPr>
    </w:p>
    <w:p w14:paraId="5E062491" w14:textId="174C5C22" w:rsidR="000F28E5" w:rsidRPr="00333449" w:rsidRDefault="00C14855" w:rsidP="002F379B">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 xml:space="preserve">Σημαντική </w:t>
      </w:r>
      <w:r w:rsidR="0031320F" w:rsidRPr="00333449">
        <w:rPr>
          <w:rFonts w:ascii="Verdana" w:hAnsi="Verdana" w:cstheme="minorHAnsi"/>
          <w:sz w:val="20"/>
          <w:szCs w:val="20"/>
        </w:rPr>
        <w:t xml:space="preserve">θετική επίπτωση είχε η αναστροφή των προβλέψεων για τις επισφαλείς απαιτήσεις </w:t>
      </w:r>
      <w:r w:rsidR="00DA1ED7" w:rsidRPr="00333449">
        <w:rPr>
          <w:rFonts w:ascii="Verdana" w:hAnsi="Verdana" w:cstheme="minorHAnsi"/>
          <w:sz w:val="20"/>
          <w:szCs w:val="20"/>
        </w:rPr>
        <w:t>κατά 8,6 εκατ. €</w:t>
      </w:r>
      <w:r w:rsidR="0031320F" w:rsidRPr="00333449">
        <w:rPr>
          <w:rFonts w:ascii="Verdana" w:hAnsi="Verdana" w:cstheme="minorHAnsi"/>
          <w:sz w:val="20"/>
          <w:szCs w:val="20"/>
        </w:rPr>
        <w:t xml:space="preserve"> και για τις επίδικες υποθέσεις κατά 7,9 εκατ. </w:t>
      </w:r>
      <w:r w:rsidR="00DA1ED7" w:rsidRPr="00333449">
        <w:rPr>
          <w:rFonts w:ascii="Verdana" w:hAnsi="Verdana" w:cstheme="minorHAnsi"/>
          <w:sz w:val="20"/>
          <w:szCs w:val="20"/>
        </w:rPr>
        <w:t>€</w:t>
      </w:r>
      <w:r w:rsidR="0031320F" w:rsidRPr="00333449">
        <w:rPr>
          <w:rFonts w:ascii="Verdana" w:hAnsi="Verdana" w:cstheme="minorHAnsi"/>
          <w:sz w:val="20"/>
          <w:szCs w:val="20"/>
        </w:rPr>
        <w:t xml:space="preserve">.  </w:t>
      </w:r>
    </w:p>
    <w:p w14:paraId="392EAD40" w14:textId="77777777" w:rsidR="00E53565" w:rsidRPr="00333449" w:rsidRDefault="00E53565" w:rsidP="0021247A">
      <w:pPr>
        <w:autoSpaceDE w:val="0"/>
        <w:autoSpaceDN w:val="0"/>
        <w:adjustRightInd w:val="0"/>
        <w:spacing w:line="276" w:lineRule="auto"/>
        <w:ind w:right="334"/>
        <w:jc w:val="both"/>
        <w:rPr>
          <w:rFonts w:ascii="Verdana" w:hAnsi="Verdana" w:cstheme="minorHAnsi"/>
          <w:sz w:val="20"/>
          <w:szCs w:val="20"/>
        </w:rPr>
      </w:pPr>
    </w:p>
    <w:p w14:paraId="2685D013" w14:textId="637A73A0" w:rsidR="0021247A" w:rsidRPr="00333449" w:rsidRDefault="0021247A" w:rsidP="0021247A">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Τα κέρδη προ φόρων χρηματοδοτικών, επενδυτικών αποτελεσμάτων και αποσβέσεων (EBITDA)</w:t>
      </w:r>
      <w:r w:rsidRPr="00333449">
        <w:rPr>
          <w:rFonts w:ascii="Verdana" w:hAnsi="Verdana" w:cstheme="minorHAnsi"/>
          <w:sz w:val="20"/>
          <w:szCs w:val="20"/>
          <w:vertAlign w:val="superscript"/>
        </w:rPr>
        <w:footnoteReference w:id="1"/>
      </w:r>
      <w:r w:rsidRPr="00333449">
        <w:rPr>
          <w:rFonts w:ascii="Verdana" w:hAnsi="Verdana" w:cstheme="minorHAnsi"/>
          <w:sz w:val="20"/>
          <w:szCs w:val="20"/>
        </w:rPr>
        <w:t xml:space="preserve"> απορρόφησαν τα παραπάνω γεγονότα και παρουσίασαν μικρή πτώση κατά  </w:t>
      </w:r>
      <w:r w:rsidRPr="00333449">
        <w:rPr>
          <w:rFonts w:ascii="Verdana" w:hAnsi="Verdana" w:cstheme="minorHAnsi"/>
          <w:sz w:val="20"/>
          <w:szCs w:val="20"/>
        </w:rPr>
        <w:lastRenderedPageBreak/>
        <w:t>2,3% ή  -0,8 εκατ. € και διαμορφώθηκαν στα 34,5 εκατ. € από 35,3  εκατ. € το πρώτο εξάμηνο του 2021, ενώ το EBITDA margin</w:t>
      </w:r>
      <w:r w:rsidR="00DA1ED7" w:rsidRPr="00333449">
        <w:rPr>
          <w:rFonts w:ascii="Verdana" w:hAnsi="Verdana" w:cstheme="minorHAnsi"/>
          <w:sz w:val="20"/>
          <w:szCs w:val="20"/>
          <w:vertAlign w:val="superscript"/>
        </w:rPr>
        <w:t>1</w:t>
      </w:r>
      <w:r w:rsidRPr="00333449">
        <w:rPr>
          <w:rFonts w:ascii="Verdana" w:hAnsi="Verdana" w:cstheme="minorHAnsi"/>
          <w:sz w:val="20"/>
          <w:szCs w:val="20"/>
        </w:rPr>
        <w:t xml:space="preserve"> μειώθηκε σε 21,1% από 22,6% τ</w:t>
      </w:r>
      <w:r w:rsidR="00A31AF2" w:rsidRPr="00333449">
        <w:rPr>
          <w:rFonts w:ascii="Verdana" w:hAnsi="Verdana" w:cstheme="minorHAnsi"/>
          <w:sz w:val="20"/>
          <w:szCs w:val="20"/>
        </w:rPr>
        <w:t>ο πρώτο εξάμηνο του 2021.</w:t>
      </w:r>
    </w:p>
    <w:p w14:paraId="59C07A91" w14:textId="37B3E305" w:rsidR="002F379B" w:rsidRPr="00333449" w:rsidRDefault="002F379B" w:rsidP="0021247A">
      <w:pPr>
        <w:autoSpaceDE w:val="0"/>
        <w:autoSpaceDN w:val="0"/>
        <w:adjustRightInd w:val="0"/>
        <w:spacing w:line="276" w:lineRule="auto"/>
        <w:ind w:right="334"/>
        <w:jc w:val="both"/>
        <w:rPr>
          <w:rFonts w:ascii="Verdana" w:hAnsi="Verdana" w:cstheme="minorHAnsi"/>
          <w:sz w:val="20"/>
          <w:szCs w:val="20"/>
        </w:rPr>
      </w:pPr>
    </w:p>
    <w:p w14:paraId="7A468041" w14:textId="4D06E386" w:rsidR="009C2745" w:rsidRPr="00333449" w:rsidRDefault="00DA1ED7" w:rsidP="009C2745">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 xml:space="preserve">Ομοίως </w:t>
      </w:r>
      <w:r w:rsidR="009C2745" w:rsidRPr="00333449">
        <w:rPr>
          <w:rFonts w:ascii="Verdana" w:hAnsi="Verdana" w:cstheme="minorHAnsi"/>
          <w:sz w:val="20"/>
          <w:szCs w:val="20"/>
        </w:rPr>
        <w:t>πτώση παρουσιάστηκε και στα κέρδη προ φόρων, χρηματοδοτικών και επενδυτικών αποτελεσμάτων (EBIT)</w:t>
      </w:r>
      <w:r w:rsidR="009C2745" w:rsidRPr="00333449">
        <w:rPr>
          <w:rFonts w:ascii="Verdana" w:hAnsi="Verdana" w:cstheme="minorHAnsi"/>
          <w:sz w:val="20"/>
          <w:szCs w:val="20"/>
          <w:vertAlign w:val="superscript"/>
        </w:rPr>
        <w:t>1</w:t>
      </w:r>
      <w:r w:rsidR="009C2745" w:rsidRPr="00333449">
        <w:rPr>
          <w:rFonts w:ascii="Verdana" w:hAnsi="Verdana" w:cstheme="minorHAnsi"/>
          <w:sz w:val="20"/>
          <w:szCs w:val="20"/>
        </w:rPr>
        <w:t xml:space="preserve"> τα οποία διαμορφώθηκαν στα 15 εκατ. €  από 17,8 εκατ. € το πρώτο εξάμηνο του 2021. Το EBIT margin</w:t>
      </w:r>
      <w:r w:rsidR="009C2745" w:rsidRPr="00333449">
        <w:rPr>
          <w:rFonts w:ascii="Verdana" w:hAnsi="Verdana" w:cstheme="minorHAnsi"/>
          <w:sz w:val="20"/>
          <w:szCs w:val="20"/>
          <w:vertAlign w:val="superscript"/>
        </w:rPr>
        <w:t>1</w:t>
      </w:r>
      <w:r w:rsidR="009C2745" w:rsidRPr="00333449">
        <w:rPr>
          <w:rFonts w:ascii="Verdana" w:hAnsi="Verdana" w:cstheme="minorHAnsi"/>
          <w:sz w:val="20"/>
          <w:szCs w:val="20"/>
        </w:rPr>
        <w:t xml:space="preserve"> διαμορφώθηκε στο 9,1% από 11,4% το πρώτο εξάμηνο του 2021.</w:t>
      </w:r>
    </w:p>
    <w:p w14:paraId="482AE2D8" w14:textId="77777777" w:rsidR="002F379B" w:rsidRPr="00333449" w:rsidRDefault="002F379B" w:rsidP="002F379B">
      <w:pPr>
        <w:autoSpaceDE w:val="0"/>
        <w:autoSpaceDN w:val="0"/>
        <w:adjustRightInd w:val="0"/>
        <w:spacing w:line="276" w:lineRule="auto"/>
        <w:ind w:right="334"/>
        <w:jc w:val="both"/>
        <w:rPr>
          <w:rFonts w:ascii="Verdana" w:hAnsi="Verdana" w:cstheme="minorHAnsi"/>
          <w:sz w:val="20"/>
          <w:szCs w:val="20"/>
        </w:rPr>
      </w:pPr>
    </w:p>
    <w:p w14:paraId="19671B6D" w14:textId="77777777" w:rsidR="009C2745" w:rsidRPr="00333449" w:rsidRDefault="009C2745" w:rsidP="009C2745">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 xml:space="preserve">Κατά το πρώτο εξάμηνο του 2022 τα κέρδη προ φόρων διαμορφώθηκαν στα 20,3 εκατ. € από 23,9 εκατ. € το πρώτο εξάμηνο του 2021. </w:t>
      </w:r>
    </w:p>
    <w:p w14:paraId="1C535C28" w14:textId="77777777" w:rsidR="00DA1ED7" w:rsidRPr="00333449" w:rsidRDefault="00DA1ED7" w:rsidP="009C2745">
      <w:pPr>
        <w:autoSpaceDE w:val="0"/>
        <w:autoSpaceDN w:val="0"/>
        <w:adjustRightInd w:val="0"/>
        <w:spacing w:line="276" w:lineRule="auto"/>
        <w:ind w:right="334"/>
        <w:jc w:val="both"/>
        <w:rPr>
          <w:rFonts w:ascii="Verdana" w:hAnsi="Verdana" w:cstheme="minorHAnsi"/>
          <w:sz w:val="20"/>
          <w:szCs w:val="20"/>
        </w:rPr>
      </w:pPr>
    </w:p>
    <w:p w14:paraId="2393D980" w14:textId="711AF6DF" w:rsidR="009C2745" w:rsidRPr="00333449" w:rsidRDefault="009C2745" w:rsidP="009C2745">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Τα μετά από φόρους κέρδη αυξήθηκαν στα 16,7 εκατ. € από 9,7 εκατ. € το πρώτο εξάμηνο του 2021, παρουσιάζοντας αύξηση της τάξης του 72%. Το καθαρό περιθώριο κέρδους διαμορφώθηκε  στο 10,2% από 6,2% κατά το A΄ εξάμηνο του 2021.</w:t>
      </w:r>
    </w:p>
    <w:p w14:paraId="7A0BC01D" w14:textId="77777777" w:rsidR="009C2745" w:rsidRPr="00333449" w:rsidRDefault="009C2745" w:rsidP="009C2745">
      <w:pPr>
        <w:autoSpaceDE w:val="0"/>
        <w:autoSpaceDN w:val="0"/>
        <w:adjustRightInd w:val="0"/>
        <w:spacing w:line="276" w:lineRule="auto"/>
        <w:ind w:right="334"/>
        <w:jc w:val="both"/>
        <w:rPr>
          <w:rFonts w:ascii="Verdana" w:hAnsi="Verdana" w:cstheme="minorHAnsi"/>
          <w:sz w:val="20"/>
          <w:szCs w:val="20"/>
        </w:rPr>
      </w:pPr>
    </w:p>
    <w:p w14:paraId="5D2330DC" w14:textId="007DB5B3" w:rsidR="001E1834" w:rsidRPr="00333449" w:rsidRDefault="009C2745" w:rsidP="001D3E2D">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Οι Λειτουργικές Ταμιακές Ροές διαμορφώθηκαν σε -144,1 εκατ. € από +17,6 εκατ. € το αντίστοιχο εξάμηνο του 2021. Η καταβολή των 157,2 εκατ. € τον Φεβρουάριο 2022 για το αδιύλιστο νερό που χρησιμοποίησε η ΕΥΔΑΠ ΑΕ από το 2013 έως και το 2020 καθώς και του ποσού των 45,5 εκατ. €</w:t>
      </w:r>
      <w:r w:rsidR="001D3E2D" w:rsidRPr="00333449">
        <w:rPr>
          <w:rFonts w:ascii="Verdana" w:hAnsi="Verdana" w:cstheme="minorHAnsi"/>
          <w:sz w:val="20"/>
          <w:szCs w:val="20"/>
        </w:rPr>
        <w:t xml:space="preserve"> που αφορά σε τακτοποιήσεις οφειλών βάσει της νέας σύμβασης με την </w:t>
      </w:r>
      <w:r w:rsidRPr="00333449">
        <w:rPr>
          <w:rFonts w:ascii="Verdana" w:hAnsi="Verdana" w:cstheme="minorHAnsi"/>
          <w:sz w:val="20"/>
          <w:szCs w:val="20"/>
        </w:rPr>
        <w:t>Εταιρεία Παγίων ΕΥΔΑΠ είχε ως αποτέλεσμα την μεταβολή των ταμειακών διαθεσίμων</w:t>
      </w:r>
      <w:r w:rsidR="001D3E2D" w:rsidRPr="00333449">
        <w:rPr>
          <w:rFonts w:ascii="Verdana" w:hAnsi="Verdana" w:cstheme="minorHAnsi"/>
          <w:sz w:val="20"/>
          <w:szCs w:val="20"/>
        </w:rPr>
        <w:t xml:space="preserve">. Χωρίς τις συγκεκριμένες έκτακτες και εφάπαξ επιδράσεις, </w:t>
      </w:r>
      <w:r w:rsidR="00876826" w:rsidRPr="00333449">
        <w:rPr>
          <w:rFonts w:ascii="Verdana" w:hAnsi="Verdana" w:cstheme="minorHAnsi"/>
          <w:sz w:val="20"/>
          <w:szCs w:val="20"/>
        </w:rPr>
        <w:t>η λειτουργική ταμειακή ροή θα ήταν θετική και θα διαμορφωνόταν σε 58 εκατ. € περίπου</w:t>
      </w:r>
      <w:r w:rsidR="001D3E2D" w:rsidRPr="00333449">
        <w:rPr>
          <w:rFonts w:ascii="Verdana" w:hAnsi="Verdana" w:cstheme="minorHAnsi"/>
          <w:sz w:val="20"/>
          <w:szCs w:val="20"/>
        </w:rPr>
        <w:t>,</w:t>
      </w:r>
      <w:r w:rsidR="00876826" w:rsidRPr="00333449">
        <w:rPr>
          <w:rFonts w:ascii="Verdana" w:hAnsi="Verdana" w:cstheme="minorHAnsi"/>
          <w:sz w:val="20"/>
          <w:szCs w:val="20"/>
        </w:rPr>
        <w:t xml:space="preserve"> το υψηλότερο των εξαμήνων της τελευταίας πενταετίας.</w:t>
      </w:r>
    </w:p>
    <w:p w14:paraId="14AB5A4F" w14:textId="77777777" w:rsidR="00BE614D" w:rsidRPr="00333449" w:rsidRDefault="00BE614D" w:rsidP="001D3E2D">
      <w:pPr>
        <w:autoSpaceDE w:val="0"/>
        <w:autoSpaceDN w:val="0"/>
        <w:adjustRightInd w:val="0"/>
        <w:spacing w:line="276" w:lineRule="auto"/>
        <w:ind w:right="334"/>
        <w:jc w:val="both"/>
        <w:rPr>
          <w:rFonts w:ascii="Verdana" w:hAnsi="Verdana" w:cstheme="minorHAnsi"/>
          <w:sz w:val="20"/>
          <w:szCs w:val="20"/>
        </w:rPr>
      </w:pPr>
    </w:p>
    <w:p w14:paraId="0FA2F5F5" w14:textId="3CC06657" w:rsidR="005415AC" w:rsidRPr="002F66BF" w:rsidRDefault="005415AC" w:rsidP="001D3E2D">
      <w:pPr>
        <w:autoSpaceDE w:val="0"/>
        <w:autoSpaceDN w:val="0"/>
        <w:adjustRightInd w:val="0"/>
        <w:spacing w:line="276" w:lineRule="auto"/>
        <w:ind w:right="334"/>
        <w:jc w:val="both"/>
        <w:rPr>
          <w:rFonts w:ascii="Verdana" w:hAnsi="Verdana" w:cstheme="minorHAnsi"/>
          <w:sz w:val="20"/>
          <w:szCs w:val="20"/>
          <w:lang w:val="en-US"/>
        </w:rPr>
      </w:pPr>
      <w:r w:rsidRPr="00333449">
        <w:rPr>
          <w:rFonts w:ascii="Verdana" w:hAnsi="Verdana" w:cstheme="minorHAnsi"/>
          <w:sz w:val="20"/>
          <w:szCs w:val="20"/>
        </w:rPr>
        <w:t>Το επενδυτικό πρόγραμμα, παρά τις δυσμενείς μακροοικονομικές συνθήκες που έχουν διαμορφωθεί,  παρουσίασε επιτάχυνση με απορρόφηση 13,9 εκατ</w:t>
      </w:r>
      <w:r w:rsidR="000923D7" w:rsidRPr="00333449">
        <w:rPr>
          <w:rFonts w:ascii="Verdana" w:hAnsi="Verdana" w:cstheme="minorHAnsi"/>
          <w:sz w:val="20"/>
          <w:szCs w:val="20"/>
        </w:rPr>
        <w:t>.</w:t>
      </w:r>
      <w:r w:rsidRPr="00333449">
        <w:rPr>
          <w:rFonts w:ascii="Verdana" w:hAnsi="Verdana" w:cstheme="minorHAnsi"/>
          <w:sz w:val="20"/>
          <w:szCs w:val="20"/>
        </w:rPr>
        <w:t xml:space="preserve"> €</w:t>
      </w:r>
      <w:r w:rsidR="00A85E97" w:rsidRPr="00333449">
        <w:rPr>
          <w:rFonts w:ascii="Verdana" w:hAnsi="Verdana" w:cstheme="minorHAnsi"/>
          <w:sz w:val="20"/>
          <w:szCs w:val="20"/>
        </w:rPr>
        <w:t xml:space="preserve">, </w:t>
      </w:r>
      <w:r w:rsidRPr="00333449">
        <w:rPr>
          <w:rFonts w:ascii="Verdana" w:hAnsi="Verdana" w:cstheme="minorHAnsi"/>
          <w:sz w:val="20"/>
          <w:szCs w:val="20"/>
        </w:rPr>
        <w:t>έναντι 9,5 εκατ. € το πρώτο εξάμηνο του 2021</w:t>
      </w:r>
      <w:r w:rsidR="000923D7" w:rsidRPr="00333449">
        <w:rPr>
          <w:rFonts w:ascii="Verdana" w:hAnsi="Verdana" w:cstheme="minorHAnsi"/>
          <w:sz w:val="20"/>
          <w:szCs w:val="20"/>
        </w:rPr>
        <w:t xml:space="preserve">, σημειώνοντας </w:t>
      </w:r>
      <w:r w:rsidR="006712CB" w:rsidRPr="00333449">
        <w:rPr>
          <w:rFonts w:ascii="Verdana" w:hAnsi="Verdana" w:cstheme="minorHAnsi"/>
          <w:sz w:val="20"/>
          <w:szCs w:val="20"/>
        </w:rPr>
        <w:t xml:space="preserve">αύξηση </w:t>
      </w:r>
      <w:r w:rsidR="0031320F" w:rsidRPr="00333449">
        <w:rPr>
          <w:rFonts w:ascii="Verdana" w:hAnsi="Verdana" w:cstheme="minorHAnsi"/>
          <w:sz w:val="20"/>
          <w:szCs w:val="20"/>
        </w:rPr>
        <w:t xml:space="preserve"> 46,3</w:t>
      </w:r>
      <w:r w:rsidR="002F66BF">
        <w:rPr>
          <w:rFonts w:ascii="Verdana" w:hAnsi="Verdana" w:cstheme="minorHAnsi"/>
          <w:sz w:val="20"/>
          <w:szCs w:val="20"/>
        </w:rPr>
        <w:t>%</w:t>
      </w:r>
      <w:r w:rsidR="002F66BF">
        <w:rPr>
          <w:rFonts w:ascii="Verdana" w:hAnsi="Verdana" w:cstheme="minorHAnsi"/>
          <w:sz w:val="20"/>
          <w:szCs w:val="20"/>
          <w:lang w:val="en-US"/>
        </w:rPr>
        <w:t>.</w:t>
      </w:r>
    </w:p>
    <w:p w14:paraId="0B54E12B" w14:textId="5B144D73" w:rsidR="008E2FF6" w:rsidRPr="00333449" w:rsidRDefault="001D3E2D" w:rsidP="002F379B">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 xml:space="preserve">     </w:t>
      </w:r>
    </w:p>
    <w:p w14:paraId="6F37F10B" w14:textId="799F42E9" w:rsidR="002F379B" w:rsidRPr="00333449" w:rsidRDefault="002F379B" w:rsidP="002F379B">
      <w:pPr>
        <w:autoSpaceDE w:val="0"/>
        <w:autoSpaceDN w:val="0"/>
        <w:adjustRightInd w:val="0"/>
        <w:spacing w:line="276" w:lineRule="auto"/>
        <w:ind w:right="334"/>
        <w:jc w:val="both"/>
        <w:rPr>
          <w:rFonts w:ascii="Verdana" w:hAnsi="Verdana" w:cstheme="minorHAnsi"/>
          <w:sz w:val="20"/>
          <w:szCs w:val="20"/>
          <w:u w:val="single"/>
        </w:rPr>
      </w:pPr>
      <w:r w:rsidRPr="00333449">
        <w:rPr>
          <w:rFonts w:ascii="Verdana" w:hAnsi="Verdana" w:cstheme="minorHAnsi"/>
          <w:sz w:val="20"/>
          <w:szCs w:val="20"/>
          <w:u w:val="single"/>
        </w:rPr>
        <w:t xml:space="preserve">Επιπτώσεις Γεωπολιτικής και Ενεργειακής Κρίσης </w:t>
      </w:r>
    </w:p>
    <w:p w14:paraId="086E7986" w14:textId="28D52EF6" w:rsidR="002F379B" w:rsidRPr="00333449" w:rsidRDefault="002F379B" w:rsidP="002F379B">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 xml:space="preserve">Αναφορικά με τις επιπτώσεις της γεωπολιτικής κρίσης στην Ουκρανία, η ΕΥΔΑΠ δεν είναι άμεσα εκτεθειμένη στις εν λόγω περιοχές, συνεπώς δεν υπάρχει και άμεση επίπτωση στις δραστηριότητές της. </w:t>
      </w:r>
      <w:r w:rsidR="00172A78" w:rsidRPr="00333449">
        <w:rPr>
          <w:rFonts w:ascii="Verdana" w:hAnsi="Verdana" w:cstheme="minorHAnsi"/>
          <w:sz w:val="20"/>
          <w:szCs w:val="20"/>
        </w:rPr>
        <w:t>Λόγω της μεταβλητότητας της κατάστασης στην Ουκρανία, δεν είναι δυνατό να εκτιμηθεί με ακρίβεια η οικονομική επίδραση. Η διοίκηση της Εταιρείας παρακολουθεί τις εξελίξεις και αξιολογεί πιθανές περαιτέρω επιπτώσεις στη λειτουργία και τα αποτελέσματά της.</w:t>
      </w:r>
    </w:p>
    <w:p w14:paraId="0ED0CAB5" w14:textId="77777777" w:rsidR="00172A78" w:rsidRPr="00333449" w:rsidRDefault="00172A78" w:rsidP="002F379B">
      <w:pPr>
        <w:autoSpaceDE w:val="0"/>
        <w:autoSpaceDN w:val="0"/>
        <w:adjustRightInd w:val="0"/>
        <w:spacing w:line="276" w:lineRule="auto"/>
        <w:ind w:right="334"/>
        <w:jc w:val="both"/>
        <w:rPr>
          <w:rFonts w:ascii="Verdana" w:hAnsi="Verdana" w:cstheme="minorHAnsi"/>
          <w:sz w:val="20"/>
          <w:szCs w:val="20"/>
        </w:rPr>
      </w:pPr>
    </w:p>
    <w:p w14:paraId="1138D0DD" w14:textId="15658719" w:rsidR="002F379B" w:rsidRPr="00333449" w:rsidRDefault="00172A78" w:rsidP="002F379B">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Ωστόσο, η γεωπολιτική κρίση σε συνδυασμό με την προ υπάρχουσα ενεργειακή κρίση, έχει οδηγήσει σε περαιτέρω αύξηση του ενεργειακού κόστους, γεγονός που έχει συμπαρασύρει την αγορά σε ανατιμήσεις.</w:t>
      </w:r>
    </w:p>
    <w:p w14:paraId="7AFD4483" w14:textId="77777777" w:rsidR="00172A78" w:rsidRPr="00333449" w:rsidRDefault="00172A78" w:rsidP="002F379B">
      <w:pPr>
        <w:autoSpaceDE w:val="0"/>
        <w:autoSpaceDN w:val="0"/>
        <w:adjustRightInd w:val="0"/>
        <w:spacing w:line="276" w:lineRule="auto"/>
        <w:ind w:right="334"/>
        <w:jc w:val="both"/>
        <w:rPr>
          <w:rFonts w:ascii="Verdana" w:hAnsi="Verdana" w:cstheme="minorHAnsi"/>
          <w:sz w:val="20"/>
          <w:szCs w:val="20"/>
        </w:rPr>
      </w:pPr>
    </w:p>
    <w:p w14:paraId="4FC17735" w14:textId="16C5DA7F" w:rsidR="00172A78" w:rsidRPr="00333449" w:rsidRDefault="00172A78" w:rsidP="002F379B">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 xml:space="preserve">Συνέπεια των ανωτέρω είναι η επιβάρυνση του οικογενειακού και επιχειρησιακού προϋπολογισμού, γεγονός όμως που δεν έχει επηρεάσει το ρυθμό των εισπράξεων της Εταιρείας. Σημαντικό ρόλο στην σταθερή ροή των εισπράξεων παίζουν, εκτός από την </w:t>
      </w:r>
      <w:r w:rsidRPr="00333449">
        <w:rPr>
          <w:rFonts w:ascii="Verdana" w:hAnsi="Verdana" w:cstheme="minorHAnsi"/>
          <w:sz w:val="20"/>
          <w:szCs w:val="20"/>
        </w:rPr>
        <w:lastRenderedPageBreak/>
        <w:t>πολιτική της εταιρείας, το οικονομικό τιμολόγιο, η ανελαστικότητα του προϊόντος αλλά και η θετική εικόνα της Εταιρείας στο καταναλωτικό κοινό.</w:t>
      </w:r>
    </w:p>
    <w:p w14:paraId="373EF941" w14:textId="77777777" w:rsidR="00172A78" w:rsidRPr="00333449" w:rsidRDefault="00172A78" w:rsidP="002F379B">
      <w:pPr>
        <w:autoSpaceDE w:val="0"/>
        <w:autoSpaceDN w:val="0"/>
        <w:adjustRightInd w:val="0"/>
        <w:spacing w:line="276" w:lineRule="auto"/>
        <w:ind w:right="334"/>
        <w:jc w:val="both"/>
        <w:rPr>
          <w:rFonts w:ascii="Verdana" w:hAnsi="Verdana" w:cstheme="minorHAnsi"/>
          <w:sz w:val="20"/>
          <w:szCs w:val="20"/>
        </w:rPr>
      </w:pPr>
    </w:p>
    <w:p w14:paraId="4C070EC9" w14:textId="156BA551" w:rsidR="00172A78" w:rsidRPr="00333449" w:rsidRDefault="00172A78" w:rsidP="002F379B">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Η αύξηση των τιμών έχει επιφέρει καθυστερήσεις σε κάποια έργα της Εταιρείας καθώς οι τιμές των υλικών, και ως εκ τούτου και οι αρχικοί προϋπολογισμοί των έργων, έχουν αυξηθεί σημαντικά μεταξύ του διαστήματος της υποβολής της προσφοράς εκ μέρους του αναδόχου και της εκτέλεσης του έργου.</w:t>
      </w:r>
    </w:p>
    <w:p w14:paraId="45032127" w14:textId="77777777" w:rsidR="00DA1ED7" w:rsidRPr="00333449" w:rsidRDefault="00DA1ED7" w:rsidP="002F379B">
      <w:pPr>
        <w:autoSpaceDE w:val="0"/>
        <w:autoSpaceDN w:val="0"/>
        <w:adjustRightInd w:val="0"/>
        <w:spacing w:line="276" w:lineRule="auto"/>
        <w:ind w:right="334"/>
        <w:jc w:val="both"/>
        <w:rPr>
          <w:rFonts w:ascii="Verdana" w:hAnsi="Verdana" w:cstheme="minorHAnsi"/>
          <w:sz w:val="20"/>
          <w:szCs w:val="20"/>
        </w:rPr>
      </w:pPr>
    </w:p>
    <w:p w14:paraId="5DB1D9E2" w14:textId="29BAC97A" w:rsidR="00172A78" w:rsidRPr="00333449" w:rsidRDefault="00172A78" w:rsidP="00172A78">
      <w:pPr>
        <w:autoSpaceDE w:val="0"/>
        <w:autoSpaceDN w:val="0"/>
        <w:adjustRightInd w:val="0"/>
        <w:spacing w:line="276" w:lineRule="auto"/>
        <w:ind w:right="334"/>
        <w:jc w:val="both"/>
        <w:rPr>
          <w:rFonts w:ascii="Verdana" w:hAnsi="Verdana" w:cstheme="minorHAnsi"/>
          <w:sz w:val="20"/>
          <w:szCs w:val="20"/>
        </w:rPr>
      </w:pPr>
      <w:r w:rsidRPr="00333449">
        <w:rPr>
          <w:rFonts w:ascii="Verdana" w:hAnsi="Verdana" w:cstheme="minorHAnsi"/>
          <w:sz w:val="20"/>
          <w:szCs w:val="20"/>
        </w:rPr>
        <w:t>Συνεπώς</w:t>
      </w:r>
      <w:r w:rsidR="00300DEF" w:rsidRPr="00333449">
        <w:rPr>
          <w:rFonts w:ascii="Verdana" w:hAnsi="Verdana" w:cstheme="minorHAnsi"/>
          <w:sz w:val="20"/>
          <w:szCs w:val="20"/>
        </w:rPr>
        <w:t>,</w:t>
      </w:r>
      <w:r w:rsidRPr="00333449">
        <w:rPr>
          <w:rFonts w:ascii="Verdana" w:hAnsi="Verdana" w:cstheme="minorHAnsi"/>
          <w:sz w:val="20"/>
          <w:szCs w:val="20"/>
        </w:rPr>
        <w:t xml:space="preserve"> έχουν υποβληθεί από τους Αναδόχους αιτήματα  αναπροσαρμογής των τιμών και χορήγησης πριμ, σε συνέχεια του Ν.4938/22 που περιλαμβάνει επείγουσες ρυθμίσεις για την εκτέλεση των συμβάσεων δημοσίων έργων για την στήριξη των εν εξελίξει εργολαβιών, λόγω της ενεργειακής κρίσης και των μεγάλων αυξήσεων των τιμών των υλικών και της ενέργειας που έχουν προκληθεί από αυτή. </w:t>
      </w:r>
    </w:p>
    <w:p w14:paraId="45CF0964" w14:textId="77777777" w:rsidR="00172A78" w:rsidRPr="00333449" w:rsidRDefault="00172A78" w:rsidP="002F379B">
      <w:pPr>
        <w:autoSpaceDE w:val="0"/>
        <w:autoSpaceDN w:val="0"/>
        <w:adjustRightInd w:val="0"/>
        <w:spacing w:line="276" w:lineRule="auto"/>
        <w:ind w:right="334"/>
        <w:jc w:val="both"/>
        <w:rPr>
          <w:rFonts w:ascii="Verdana" w:hAnsi="Verdana" w:cstheme="minorHAnsi"/>
          <w:sz w:val="20"/>
          <w:szCs w:val="20"/>
        </w:rPr>
      </w:pPr>
    </w:p>
    <w:p w14:paraId="376DB9A4" w14:textId="77777777" w:rsidR="00172A78" w:rsidRPr="00333449" w:rsidRDefault="00172A78" w:rsidP="00172A78">
      <w:pPr>
        <w:autoSpaceDE w:val="0"/>
        <w:autoSpaceDN w:val="0"/>
        <w:adjustRightInd w:val="0"/>
        <w:spacing w:line="276" w:lineRule="auto"/>
        <w:ind w:right="334"/>
        <w:jc w:val="both"/>
        <w:rPr>
          <w:rFonts w:ascii="Verdana" w:eastAsia="Hiragino Sans W3" w:hAnsi="Verdana" w:cstheme="minorHAnsi"/>
          <w:sz w:val="20"/>
          <w:szCs w:val="20"/>
        </w:rPr>
      </w:pPr>
      <w:r w:rsidRPr="00333449">
        <w:rPr>
          <w:rFonts w:ascii="Verdana" w:eastAsia="Hiragino Sans W3" w:hAnsi="Verdana" w:cstheme="minorHAnsi"/>
          <w:sz w:val="20"/>
          <w:szCs w:val="20"/>
        </w:rPr>
        <w:t>Αναφορικά με το κόστος της ηλεκτρικής ενέργειας, κατά το πρώτο εξάμηνο του 2022 υπήρξε αύξηση κατά 87% από 9,6 εκατ. ευρώ το πρώτο εξάμηνο του 2021 σε 17,9 εκατ. ευρώ την αντίστοιχη χρονική περίοδο του 2022, ενώ η συνολική κατανάλωση ηλεκτρική ενέργειας μειώθηκε κατά 8,9% λόγω μεγαλύτερης συμμετοχής των μονάδων συμπαραγωγής βιοαερίου (ΣΗΘΕ) στην κάλυψη των αναγκών για ηλεκτρική ενέργεια του ΚΕΛ Ψυττάλειας. Το κόστος προμήθειας του φυσικού αερίου παρουσίασε επίσης σημαντική άνοδο κατά 146%  από 187 χιλ. ευρώ σε 460 χιλ. ευρώ.</w:t>
      </w:r>
    </w:p>
    <w:p w14:paraId="241BBEF8" w14:textId="77777777" w:rsidR="00DA1ED7" w:rsidRPr="00333449" w:rsidRDefault="00DA1ED7" w:rsidP="00172A78">
      <w:pPr>
        <w:autoSpaceDE w:val="0"/>
        <w:autoSpaceDN w:val="0"/>
        <w:adjustRightInd w:val="0"/>
        <w:spacing w:line="276" w:lineRule="auto"/>
        <w:ind w:right="334"/>
        <w:jc w:val="both"/>
        <w:rPr>
          <w:rFonts w:ascii="Verdana" w:eastAsia="Hiragino Sans W3" w:hAnsi="Verdana" w:cstheme="minorHAnsi"/>
          <w:sz w:val="20"/>
          <w:szCs w:val="20"/>
        </w:rPr>
      </w:pPr>
    </w:p>
    <w:p w14:paraId="143C3937" w14:textId="79DACAB7" w:rsidR="005415AC" w:rsidRPr="00333449" w:rsidRDefault="005415AC" w:rsidP="005415AC">
      <w:pPr>
        <w:autoSpaceDE w:val="0"/>
        <w:autoSpaceDN w:val="0"/>
        <w:adjustRightInd w:val="0"/>
        <w:spacing w:line="276" w:lineRule="auto"/>
        <w:ind w:right="334"/>
        <w:jc w:val="both"/>
        <w:rPr>
          <w:rFonts w:ascii="Verdana" w:eastAsia="Hiragino Sans W3" w:hAnsi="Verdana" w:cstheme="minorHAnsi"/>
          <w:sz w:val="20"/>
          <w:szCs w:val="20"/>
        </w:rPr>
      </w:pPr>
      <w:r w:rsidRPr="00333449">
        <w:rPr>
          <w:rFonts w:ascii="Verdana" w:eastAsia="Hiragino Sans W3" w:hAnsi="Verdana" w:cstheme="minorHAnsi"/>
          <w:sz w:val="20"/>
          <w:szCs w:val="20"/>
        </w:rPr>
        <w:t xml:space="preserve">Η διοίκηση της ΕΥΔΑΠ λαμβάνει τα απαραίτητα μέτρα προκειμένου να ελαχιστοποιήσει τις τυχόν επιπτώσεις. </w:t>
      </w:r>
      <w:r w:rsidRPr="00333449">
        <w:rPr>
          <w:rFonts w:ascii="Verdana" w:eastAsia="Hiragino Sans W3" w:hAnsi="Verdana" w:cstheme="minorHAnsi"/>
          <w:bCs/>
          <w:sz w:val="20"/>
          <w:szCs w:val="20"/>
        </w:rPr>
        <w:t>Προς το παρόν η Εταιρεία δεν αντιμετωπίζει πρόβλημα ανεπάρκειας υλικών ή προμήθειάς τους. Επιπλέον</w:t>
      </w:r>
      <w:r w:rsidR="00F803E5" w:rsidRPr="00333449">
        <w:rPr>
          <w:rFonts w:ascii="Verdana" w:eastAsia="Hiragino Sans W3" w:hAnsi="Verdana" w:cstheme="minorHAnsi"/>
          <w:bCs/>
          <w:sz w:val="20"/>
          <w:szCs w:val="20"/>
        </w:rPr>
        <w:t xml:space="preserve">, επιταχύνονται </w:t>
      </w:r>
      <w:r w:rsidRPr="00333449">
        <w:rPr>
          <w:rFonts w:ascii="Verdana" w:eastAsia="Hiragino Sans W3" w:hAnsi="Verdana" w:cstheme="minorHAnsi"/>
          <w:bCs/>
          <w:sz w:val="20"/>
          <w:szCs w:val="20"/>
        </w:rPr>
        <w:t xml:space="preserve">όλες οι απαραίτητες κινήσεις για την μετάβαση σε πράσινη ενέργεια, γεγονός που θα ελαττώσει τις επιπτώσεις της ενεργειακής κρίσης. </w:t>
      </w:r>
    </w:p>
    <w:p w14:paraId="7CD98A27" w14:textId="4680800A" w:rsidR="00DA1ED7" w:rsidRPr="00333449" w:rsidRDefault="00DA1ED7" w:rsidP="002F379B">
      <w:pPr>
        <w:autoSpaceDE w:val="0"/>
        <w:autoSpaceDN w:val="0"/>
        <w:adjustRightInd w:val="0"/>
        <w:spacing w:line="276" w:lineRule="auto"/>
        <w:ind w:right="334"/>
        <w:jc w:val="both"/>
        <w:rPr>
          <w:rFonts w:ascii="Verdana" w:eastAsia="Hiragino Sans W3" w:hAnsi="Verdana" w:cstheme="minorHAnsi"/>
          <w:sz w:val="20"/>
          <w:szCs w:val="20"/>
        </w:rPr>
      </w:pPr>
    </w:p>
    <w:p w14:paraId="7890D839" w14:textId="77777777" w:rsidR="002F379B" w:rsidRPr="00333449" w:rsidRDefault="002F379B" w:rsidP="002F379B">
      <w:pPr>
        <w:autoSpaceDE w:val="0"/>
        <w:autoSpaceDN w:val="0"/>
        <w:adjustRightInd w:val="0"/>
        <w:spacing w:line="276" w:lineRule="auto"/>
        <w:ind w:right="334"/>
        <w:jc w:val="both"/>
        <w:rPr>
          <w:rFonts w:ascii="Verdana" w:eastAsia="Hiragino Sans W3" w:hAnsi="Verdana" w:cstheme="minorHAnsi"/>
          <w:sz w:val="20"/>
          <w:szCs w:val="20"/>
          <w:u w:val="single"/>
        </w:rPr>
      </w:pPr>
      <w:r w:rsidRPr="00333449">
        <w:rPr>
          <w:rFonts w:ascii="Verdana" w:eastAsia="Hiragino Sans W3" w:hAnsi="Verdana" w:cstheme="minorHAnsi"/>
          <w:sz w:val="20"/>
          <w:szCs w:val="20"/>
          <w:u w:val="single"/>
        </w:rPr>
        <w:t xml:space="preserve">Επιπτώσεις Πανδημίας </w:t>
      </w:r>
      <w:proofErr w:type="spellStart"/>
      <w:r w:rsidRPr="00333449">
        <w:rPr>
          <w:rFonts w:ascii="Verdana" w:eastAsia="Hiragino Sans W3" w:hAnsi="Verdana" w:cstheme="minorHAnsi"/>
          <w:sz w:val="20"/>
          <w:szCs w:val="20"/>
          <w:u w:val="single"/>
          <w:lang w:val="en-GB"/>
        </w:rPr>
        <w:t>Covid</w:t>
      </w:r>
      <w:proofErr w:type="spellEnd"/>
      <w:r w:rsidRPr="00333449">
        <w:rPr>
          <w:rFonts w:ascii="Verdana" w:eastAsia="Hiragino Sans W3" w:hAnsi="Verdana" w:cstheme="minorHAnsi"/>
          <w:sz w:val="20"/>
          <w:szCs w:val="20"/>
          <w:u w:val="single"/>
        </w:rPr>
        <w:t>-19</w:t>
      </w:r>
    </w:p>
    <w:p w14:paraId="67C3ED1A" w14:textId="22275FCA" w:rsidR="002F379B" w:rsidRPr="00333449" w:rsidRDefault="002F379B" w:rsidP="002F379B">
      <w:pPr>
        <w:autoSpaceDE w:val="0"/>
        <w:autoSpaceDN w:val="0"/>
        <w:adjustRightInd w:val="0"/>
        <w:spacing w:line="276" w:lineRule="auto"/>
        <w:ind w:right="334"/>
        <w:jc w:val="both"/>
        <w:rPr>
          <w:rFonts w:ascii="Verdana" w:eastAsia="Hiragino Sans W3" w:hAnsi="Verdana" w:cstheme="minorHAnsi"/>
          <w:sz w:val="20"/>
          <w:szCs w:val="20"/>
        </w:rPr>
      </w:pPr>
      <w:r w:rsidRPr="00333449">
        <w:rPr>
          <w:rFonts w:ascii="Verdana" w:eastAsia="Hiragino Sans W3" w:hAnsi="Verdana" w:cstheme="minorHAnsi"/>
          <w:sz w:val="20"/>
          <w:szCs w:val="20"/>
        </w:rPr>
        <w:t xml:space="preserve">Σχετικά με τη διαχείριση της πανδημίας, η Διοίκηση της εταιρείας από την αρχή της πανδημίας, παρακολουθεί τις εξελίξεις αξιολογεί τους κινδύνους και προβαίνει στις απαραίτητες ενέργειες για να συνεχίσει την απρόσκοπτη λειτουργία της, την εξυπηρέτηση των πελατών της αλλά και την προστασία του ανθρώπινου δυναμικού της. Με εξαίρεση την προσωρινή μείωση των εισπράξεων την περίοδο των πρώτων μηνών της πανδημίας, η ΕΥΔΑΠ δεν αντιμετώπισε ιδιαίτερα προβλήματα στην διαχείριση ενώ δεν σημειώθηκαν επιπτώσεις καθολικά στις δραστηριότητές της Εταιρείας και στην προμήθεια υλικών από την εξάπλωση του </w:t>
      </w:r>
      <w:r w:rsidRPr="00333449">
        <w:rPr>
          <w:rFonts w:ascii="Verdana" w:eastAsia="Hiragino Sans W3" w:hAnsi="Verdana" w:cstheme="minorHAnsi"/>
          <w:sz w:val="20"/>
          <w:szCs w:val="20"/>
          <w:lang w:val="en-US"/>
        </w:rPr>
        <w:t>C</w:t>
      </w:r>
      <w:proofErr w:type="spellStart"/>
      <w:r w:rsidRPr="00333449">
        <w:rPr>
          <w:rFonts w:ascii="Verdana" w:eastAsia="Hiragino Sans W3" w:hAnsi="Verdana" w:cstheme="minorHAnsi"/>
          <w:sz w:val="20"/>
          <w:szCs w:val="20"/>
          <w:lang w:val="en-GB"/>
        </w:rPr>
        <w:t>ovid</w:t>
      </w:r>
      <w:proofErr w:type="spellEnd"/>
      <w:r w:rsidRPr="00333449">
        <w:rPr>
          <w:rFonts w:ascii="Verdana" w:eastAsia="Hiragino Sans W3" w:hAnsi="Verdana" w:cstheme="minorHAnsi"/>
          <w:sz w:val="20"/>
          <w:szCs w:val="20"/>
        </w:rPr>
        <w:t>-19.</w:t>
      </w:r>
    </w:p>
    <w:p w14:paraId="63AD7CA1" w14:textId="77777777" w:rsidR="002F379B" w:rsidRPr="00333449" w:rsidRDefault="002F379B" w:rsidP="002F379B">
      <w:pPr>
        <w:autoSpaceDE w:val="0"/>
        <w:autoSpaceDN w:val="0"/>
        <w:adjustRightInd w:val="0"/>
        <w:spacing w:line="276" w:lineRule="auto"/>
        <w:ind w:right="334"/>
        <w:jc w:val="both"/>
        <w:rPr>
          <w:rFonts w:ascii="Verdana" w:eastAsia="Hiragino Sans W3" w:hAnsi="Verdana" w:cstheme="minorHAnsi"/>
          <w:sz w:val="20"/>
          <w:szCs w:val="20"/>
        </w:rPr>
      </w:pPr>
    </w:p>
    <w:p w14:paraId="5AEC00B8" w14:textId="77777777" w:rsidR="00BE614D" w:rsidRPr="00333449" w:rsidRDefault="005415AC" w:rsidP="002F379B">
      <w:pPr>
        <w:autoSpaceDE w:val="0"/>
        <w:autoSpaceDN w:val="0"/>
        <w:adjustRightInd w:val="0"/>
        <w:spacing w:line="276" w:lineRule="auto"/>
        <w:ind w:right="334"/>
        <w:jc w:val="both"/>
        <w:rPr>
          <w:rFonts w:ascii="Verdana" w:eastAsia="Hiragino Sans W3" w:hAnsi="Verdana" w:cstheme="minorHAnsi"/>
          <w:sz w:val="20"/>
          <w:szCs w:val="20"/>
        </w:rPr>
      </w:pPr>
      <w:r w:rsidRPr="00333449">
        <w:rPr>
          <w:rFonts w:ascii="Verdana" w:eastAsia="Hiragino Sans W3" w:hAnsi="Verdana" w:cstheme="minorHAnsi"/>
          <w:sz w:val="20"/>
          <w:szCs w:val="20"/>
        </w:rPr>
        <w:t>Ο Διευθύνων Σύμβουλος της ΕΥ∆ΑΠ κ. Χάρης Σαχίνης, αναφέρει σε δήλωσή του κατά την ανακοίνωση των οικονομικών αποτελεσμάτων του πρώτου εξαμήνου του 2022:</w:t>
      </w:r>
    </w:p>
    <w:p w14:paraId="318D0ED5" w14:textId="77777777" w:rsidR="00300DEF" w:rsidRPr="00333449" w:rsidRDefault="00300DEF" w:rsidP="002F379B">
      <w:pPr>
        <w:autoSpaceDE w:val="0"/>
        <w:autoSpaceDN w:val="0"/>
        <w:adjustRightInd w:val="0"/>
        <w:spacing w:line="276" w:lineRule="auto"/>
        <w:ind w:right="334"/>
        <w:jc w:val="both"/>
        <w:rPr>
          <w:rFonts w:ascii="Verdana" w:eastAsia="Hiragino Sans W3" w:hAnsi="Verdana" w:cstheme="minorHAnsi"/>
          <w:sz w:val="20"/>
          <w:szCs w:val="20"/>
        </w:rPr>
      </w:pPr>
    </w:p>
    <w:p w14:paraId="11932726" w14:textId="7DD00CEE" w:rsidR="002F379B" w:rsidRPr="00333449" w:rsidRDefault="005415AC" w:rsidP="002F379B">
      <w:pPr>
        <w:autoSpaceDE w:val="0"/>
        <w:autoSpaceDN w:val="0"/>
        <w:adjustRightInd w:val="0"/>
        <w:spacing w:line="276" w:lineRule="auto"/>
        <w:ind w:right="334"/>
        <w:jc w:val="both"/>
        <w:rPr>
          <w:rFonts w:ascii="Verdana" w:eastAsia="Hiragino Sans W3" w:hAnsi="Verdana" w:cstheme="minorHAnsi"/>
          <w:i/>
          <w:sz w:val="20"/>
          <w:szCs w:val="20"/>
        </w:rPr>
      </w:pPr>
      <w:r w:rsidRPr="00333449">
        <w:rPr>
          <w:rFonts w:ascii="Verdana" w:eastAsia="Hiragino Sans W3" w:hAnsi="Verdana" w:cstheme="minorHAnsi"/>
          <w:sz w:val="20"/>
          <w:szCs w:val="20"/>
        </w:rPr>
        <w:t xml:space="preserve"> </w:t>
      </w:r>
      <w:r w:rsidR="002F379B" w:rsidRPr="00333449">
        <w:rPr>
          <w:rFonts w:ascii="Verdana" w:eastAsia="Hiragino Sans W3" w:hAnsi="Verdana" w:cstheme="minorHAnsi"/>
          <w:sz w:val="20"/>
          <w:szCs w:val="20"/>
        </w:rPr>
        <w:t>«</w:t>
      </w:r>
      <w:r w:rsidR="002F379B" w:rsidRPr="00333449">
        <w:rPr>
          <w:rFonts w:ascii="Verdana" w:eastAsia="Hiragino Sans W3" w:hAnsi="Verdana" w:cstheme="minorHAnsi"/>
          <w:i/>
          <w:iCs/>
          <w:sz w:val="20"/>
          <w:szCs w:val="20"/>
        </w:rPr>
        <w:t>Το</w:t>
      </w:r>
      <w:r w:rsidRPr="00333449">
        <w:rPr>
          <w:rFonts w:ascii="Verdana" w:eastAsia="Hiragino Sans W3" w:hAnsi="Verdana" w:cstheme="minorHAnsi"/>
          <w:i/>
          <w:iCs/>
          <w:sz w:val="20"/>
          <w:szCs w:val="20"/>
        </w:rPr>
        <w:t xml:space="preserve"> πρώτο εξάμηνο του  2022 </w:t>
      </w:r>
      <w:r w:rsidR="002F379B" w:rsidRPr="00333449">
        <w:rPr>
          <w:rFonts w:ascii="Verdana" w:eastAsia="Hiragino Sans W3" w:hAnsi="Verdana" w:cstheme="minorHAnsi"/>
          <w:i/>
          <w:iCs/>
          <w:sz w:val="20"/>
          <w:szCs w:val="20"/>
        </w:rPr>
        <w:t xml:space="preserve"> αποτέλεσε </w:t>
      </w:r>
      <w:r w:rsidRPr="00333449">
        <w:rPr>
          <w:rFonts w:ascii="Verdana" w:eastAsia="Hiragino Sans W3" w:hAnsi="Verdana" w:cstheme="minorHAnsi"/>
          <w:i/>
          <w:iCs/>
          <w:sz w:val="20"/>
          <w:szCs w:val="20"/>
        </w:rPr>
        <w:t>την πρώτη χρονική περίοδο που η Εταιρεία λειτουργεί πλήρως υπό τους όρους της νέας σύμβασης</w:t>
      </w:r>
      <w:r w:rsidRPr="00333449">
        <w:rPr>
          <w:rFonts w:ascii="Verdana" w:eastAsia="Hiragino Sans W3" w:hAnsi="Verdana" w:cstheme="minorHAnsi"/>
          <w:sz w:val="20"/>
          <w:szCs w:val="20"/>
        </w:rPr>
        <w:t xml:space="preserve">. </w:t>
      </w:r>
      <w:r w:rsidRPr="00333449">
        <w:rPr>
          <w:rFonts w:ascii="Verdana" w:eastAsia="Hiragino Sans W3" w:hAnsi="Verdana" w:cstheme="minorHAnsi"/>
          <w:i/>
          <w:sz w:val="20"/>
          <w:szCs w:val="20"/>
        </w:rPr>
        <w:t xml:space="preserve">Η ΕΥΔΑΠ έχει καταφέρει να απορροφήσει τους κραδασμούς από την ταυτόχρονη γεωπολιτική και ενεργειακή κρίση και </w:t>
      </w:r>
      <w:r w:rsidRPr="00333449">
        <w:rPr>
          <w:rFonts w:ascii="Verdana" w:eastAsia="Hiragino Sans W3" w:hAnsi="Verdana" w:cstheme="minorHAnsi"/>
          <w:i/>
          <w:sz w:val="20"/>
          <w:szCs w:val="20"/>
        </w:rPr>
        <w:lastRenderedPageBreak/>
        <w:t>να συνεχίσει το επενδυτικό της έργο</w:t>
      </w:r>
      <w:r w:rsidR="00BE614D" w:rsidRPr="00333449">
        <w:rPr>
          <w:rFonts w:ascii="Verdana" w:eastAsia="Hiragino Sans W3" w:hAnsi="Verdana" w:cstheme="minorHAnsi"/>
          <w:i/>
          <w:sz w:val="20"/>
          <w:szCs w:val="20"/>
        </w:rPr>
        <w:t>,</w:t>
      </w:r>
      <w:r w:rsidR="004A3B5B" w:rsidRPr="00333449">
        <w:rPr>
          <w:rFonts w:ascii="Verdana" w:eastAsia="Hiragino Sans W3" w:hAnsi="Verdana" w:cstheme="minorHAnsi"/>
          <w:i/>
          <w:sz w:val="20"/>
          <w:szCs w:val="20"/>
        </w:rPr>
        <w:t xml:space="preserve"> με κύριο στόχο τα έργα αποχέτευσης στην Ανατολική Αττική</w:t>
      </w:r>
      <w:r w:rsidR="00BE614D" w:rsidRPr="00333449">
        <w:rPr>
          <w:rFonts w:ascii="Verdana" w:eastAsia="Hiragino Sans W3" w:hAnsi="Verdana" w:cstheme="minorHAnsi"/>
          <w:i/>
          <w:sz w:val="20"/>
          <w:szCs w:val="20"/>
        </w:rPr>
        <w:t xml:space="preserve"> τον μετασχηματισμό της και την ανάδειξη της </w:t>
      </w:r>
      <w:r w:rsidR="00BE614D" w:rsidRPr="00333449">
        <w:rPr>
          <w:rFonts w:ascii="Verdana" w:eastAsia="Hiragino Sans W3" w:hAnsi="Verdana" w:cstheme="minorHAnsi"/>
          <w:i/>
          <w:sz w:val="20"/>
          <w:szCs w:val="20"/>
          <w:lang w:val="en-GB"/>
        </w:rPr>
        <w:t>ESG</w:t>
      </w:r>
      <w:r w:rsidR="00BE614D" w:rsidRPr="00333449">
        <w:rPr>
          <w:rFonts w:ascii="Verdana" w:eastAsia="Hiragino Sans W3" w:hAnsi="Verdana" w:cstheme="minorHAnsi"/>
          <w:i/>
          <w:sz w:val="20"/>
          <w:szCs w:val="20"/>
        </w:rPr>
        <w:t xml:space="preserve"> δυναμικής της. </w:t>
      </w:r>
    </w:p>
    <w:p w14:paraId="2C55D96C" w14:textId="6E3D42AB" w:rsidR="002F379B" w:rsidRPr="00333449" w:rsidRDefault="00BE614D" w:rsidP="002F379B">
      <w:pPr>
        <w:autoSpaceDE w:val="0"/>
        <w:autoSpaceDN w:val="0"/>
        <w:adjustRightInd w:val="0"/>
        <w:spacing w:line="276" w:lineRule="auto"/>
        <w:ind w:right="334"/>
        <w:jc w:val="both"/>
        <w:rPr>
          <w:rFonts w:ascii="Verdana" w:eastAsia="Hiragino Sans W3" w:hAnsi="Verdana" w:cstheme="minorHAnsi"/>
          <w:sz w:val="20"/>
          <w:szCs w:val="20"/>
        </w:rPr>
      </w:pPr>
      <w:r w:rsidRPr="00333449">
        <w:rPr>
          <w:rFonts w:ascii="Verdana" w:eastAsia="Hiragino Sans W3" w:hAnsi="Verdana" w:cstheme="minorHAnsi"/>
          <w:i/>
          <w:sz w:val="20"/>
          <w:szCs w:val="20"/>
        </w:rPr>
        <w:t>Αναφορικά με το νέο ρυθμιστικό πλαίσιο,</w:t>
      </w:r>
      <w:r w:rsidRPr="00333449">
        <w:rPr>
          <w:rFonts w:ascii="Verdana" w:eastAsiaTheme="minorEastAsia" w:hAnsi="Verdana" w:cstheme="minorHAnsi"/>
          <w:i/>
          <w:color w:val="000000" w:themeColor="text1"/>
          <w:kern w:val="24"/>
          <w:sz w:val="20"/>
          <w:szCs w:val="20"/>
        </w:rPr>
        <w:t xml:space="preserve"> </w:t>
      </w:r>
      <w:r w:rsidRPr="00333449">
        <w:rPr>
          <w:rFonts w:ascii="Verdana" w:eastAsia="Hiragino Sans W3" w:hAnsi="Verdana" w:cstheme="minorHAnsi"/>
          <w:i/>
          <w:sz w:val="20"/>
          <w:szCs w:val="20"/>
        </w:rPr>
        <w:t xml:space="preserve">εντός του Νοεμβρίου αναμένεται να κατατεθεί νομοσχέδιο σχετικά με τη δημιουργία ρυθμιστικής αρχής υδάτων που θα </w:t>
      </w:r>
      <w:r w:rsidR="004A3B5B" w:rsidRPr="00333449">
        <w:rPr>
          <w:rFonts w:ascii="Verdana" w:eastAsia="Hiragino Sans W3" w:hAnsi="Verdana" w:cstheme="minorHAnsi"/>
          <w:i/>
          <w:sz w:val="20"/>
          <w:szCs w:val="20"/>
        </w:rPr>
        <w:t xml:space="preserve">συμπτυχθεί </w:t>
      </w:r>
      <w:r w:rsidRPr="00333449">
        <w:rPr>
          <w:rFonts w:ascii="Verdana" w:eastAsia="Hiragino Sans W3" w:hAnsi="Verdana" w:cstheme="minorHAnsi"/>
          <w:i/>
          <w:sz w:val="20"/>
          <w:szCs w:val="20"/>
        </w:rPr>
        <w:t>με την ΡΑΕ</w:t>
      </w:r>
      <w:r w:rsidR="004A3B5B" w:rsidRPr="00333449">
        <w:rPr>
          <w:rFonts w:ascii="Verdana" w:eastAsia="Hiragino Sans W3" w:hAnsi="Verdana" w:cstheme="minorHAnsi"/>
          <w:i/>
          <w:sz w:val="20"/>
          <w:szCs w:val="20"/>
        </w:rPr>
        <w:t>, εξέλιξη που θα δώσει διαύγεια στην εφαρμογή του νέου ρυθμιστικού πλαισίου</w:t>
      </w:r>
      <w:r w:rsidR="004A3B5B" w:rsidRPr="00333449">
        <w:rPr>
          <w:rFonts w:ascii="Verdana" w:eastAsia="Hiragino Sans W3" w:hAnsi="Verdana" w:cstheme="minorHAnsi"/>
          <w:sz w:val="20"/>
          <w:szCs w:val="20"/>
        </w:rPr>
        <w:t>.</w:t>
      </w:r>
      <w:r w:rsidR="00755B74" w:rsidRPr="00333449">
        <w:rPr>
          <w:rFonts w:ascii="Verdana" w:eastAsia="Hiragino Sans W3" w:hAnsi="Verdana" w:cstheme="minorHAnsi"/>
          <w:sz w:val="20"/>
          <w:szCs w:val="20"/>
        </w:rPr>
        <w:t>»</w:t>
      </w:r>
    </w:p>
    <w:p w14:paraId="13F17F7C" w14:textId="77777777" w:rsidR="002F379B" w:rsidRPr="00333449" w:rsidRDefault="002F379B" w:rsidP="002F379B">
      <w:pPr>
        <w:autoSpaceDE w:val="0"/>
        <w:autoSpaceDN w:val="0"/>
        <w:adjustRightInd w:val="0"/>
        <w:spacing w:line="276" w:lineRule="auto"/>
        <w:ind w:right="334"/>
        <w:jc w:val="both"/>
        <w:rPr>
          <w:rFonts w:ascii="Verdana" w:eastAsia="Hiragino Sans W3" w:hAnsi="Verdana" w:cstheme="minorHAnsi"/>
          <w:i/>
          <w:iCs/>
          <w:sz w:val="20"/>
          <w:szCs w:val="20"/>
        </w:rPr>
      </w:pPr>
    </w:p>
    <w:p w14:paraId="7CC34525" w14:textId="69DE2FD1" w:rsidR="00722797" w:rsidRPr="00333449" w:rsidRDefault="00722797" w:rsidP="002F379B">
      <w:pPr>
        <w:autoSpaceDE w:val="0"/>
        <w:autoSpaceDN w:val="0"/>
        <w:adjustRightInd w:val="0"/>
        <w:spacing w:line="276" w:lineRule="auto"/>
        <w:ind w:right="334"/>
        <w:jc w:val="both"/>
        <w:rPr>
          <w:rFonts w:ascii="Verdana" w:eastAsia="Hiragino Sans W3" w:hAnsi="Verdana" w:cstheme="minorHAnsi"/>
          <w:sz w:val="20"/>
          <w:szCs w:val="20"/>
        </w:rPr>
      </w:pPr>
    </w:p>
    <w:p w14:paraId="0A302604" w14:textId="742F1FA6" w:rsidR="00722797" w:rsidRPr="00333449" w:rsidRDefault="00722797" w:rsidP="002F379B">
      <w:pPr>
        <w:autoSpaceDE w:val="0"/>
        <w:autoSpaceDN w:val="0"/>
        <w:adjustRightInd w:val="0"/>
        <w:spacing w:line="276" w:lineRule="auto"/>
        <w:ind w:right="334"/>
        <w:jc w:val="both"/>
        <w:rPr>
          <w:rFonts w:ascii="Verdana" w:eastAsia="Hiragino Sans W3" w:hAnsi="Verdana" w:cstheme="minorHAnsi"/>
          <w:sz w:val="20"/>
          <w:szCs w:val="20"/>
        </w:rPr>
      </w:pPr>
    </w:p>
    <w:p w14:paraId="215623EC" w14:textId="77777777" w:rsidR="002F379B" w:rsidRPr="00333449" w:rsidRDefault="002F379B" w:rsidP="002F379B">
      <w:pPr>
        <w:autoSpaceDE w:val="0"/>
        <w:autoSpaceDN w:val="0"/>
        <w:adjustRightInd w:val="0"/>
        <w:spacing w:line="276" w:lineRule="auto"/>
        <w:ind w:right="334"/>
        <w:jc w:val="both"/>
        <w:rPr>
          <w:rFonts w:ascii="Verdana" w:eastAsia="Hiragino Sans W3" w:hAnsi="Verdana" w:cstheme="minorHAnsi"/>
          <w:sz w:val="20"/>
          <w:szCs w:val="20"/>
        </w:rPr>
      </w:pPr>
    </w:p>
    <w:p w14:paraId="1A4B606F" w14:textId="77777777" w:rsidR="00300DEF" w:rsidRPr="00333449" w:rsidRDefault="00300DEF" w:rsidP="002F379B">
      <w:pPr>
        <w:autoSpaceDE w:val="0"/>
        <w:autoSpaceDN w:val="0"/>
        <w:adjustRightInd w:val="0"/>
        <w:spacing w:line="276" w:lineRule="auto"/>
        <w:ind w:right="334"/>
        <w:jc w:val="both"/>
        <w:rPr>
          <w:rFonts w:ascii="Verdana" w:eastAsia="Hiragino Sans W3" w:hAnsi="Verdana" w:cstheme="minorHAnsi"/>
          <w:sz w:val="20"/>
          <w:szCs w:val="20"/>
        </w:rPr>
      </w:pPr>
    </w:p>
    <w:p w14:paraId="3EE0D8B5" w14:textId="77777777" w:rsidR="00300DEF" w:rsidRPr="00333449" w:rsidRDefault="00300DEF" w:rsidP="002F379B">
      <w:pPr>
        <w:autoSpaceDE w:val="0"/>
        <w:autoSpaceDN w:val="0"/>
        <w:adjustRightInd w:val="0"/>
        <w:spacing w:line="276" w:lineRule="auto"/>
        <w:ind w:right="334"/>
        <w:jc w:val="both"/>
        <w:rPr>
          <w:rFonts w:ascii="Verdana" w:eastAsia="Hiragino Sans W3" w:hAnsi="Verdana" w:cstheme="minorHAnsi"/>
          <w:sz w:val="20"/>
          <w:szCs w:val="20"/>
        </w:rPr>
      </w:pPr>
    </w:p>
    <w:p w14:paraId="6E2A9FAE" w14:textId="13EC95B8" w:rsidR="00300DEF" w:rsidRDefault="00300DEF" w:rsidP="002F379B">
      <w:pPr>
        <w:autoSpaceDE w:val="0"/>
        <w:autoSpaceDN w:val="0"/>
        <w:adjustRightInd w:val="0"/>
        <w:spacing w:line="276" w:lineRule="auto"/>
        <w:ind w:right="334"/>
        <w:jc w:val="both"/>
        <w:rPr>
          <w:rFonts w:ascii="Verdana" w:eastAsia="Hiragino Sans W3" w:hAnsi="Verdana" w:cstheme="minorHAnsi"/>
          <w:sz w:val="20"/>
          <w:szCs w:val="20"/>
        </w:rPr>
      </w:pPr>
    </w:p>
    <w:p w14:paraId="76386944" w14:textId="6D2B4319"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2FB9F76A" w14:textId="0C55758D"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458B661C" w14:textId="0FD90961"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1449937A" w14:textId="65AB5C80"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7A0888A4" w14:textId="346EFC3B"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20CF38A1" w14:textId="48BC401F"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78F4B19C" w14:textId="5E4EB165"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0BF8561F" w14:textId="510CA25A"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6CBD2E49" w14:textId="30A58D53"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5A2B64B8" w14:textId="4DC3D031"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6C16D079" w14:textId="4248A8A5"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787A90FD" w14:textId="11192BF4"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0DB7F4CE" w14:textId="6537290C"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102EA3A1" w14:textId="68480B09"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2EDC5746" w14:textId="560CEDB2"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4907BAA0" w14:textId="488F7AB8"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4363C294" w14:textId="652C8A85"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78CAF996" w14:textId="1DD5F790"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348723C2" w14:textId="3F739827"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50A0DF5E" w14:textId="46A5F2C3"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675F05F8" w14:textId="4374E0D9"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75E2B1EE" w14:textId="14D0F425"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2F32EC82" w14:textId="4FA8127D"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7DDA2863" w14:textId="354C5C25"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4D77CCC9" w14:textId="07F81097" w:rsid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52A134F7" w14:textId="77777777" w:rsidR="00333449" w:rsidRPr="00333449" w:rsidRDefault="00333449" w:rsidP="002F379B">
      <w:pPr>
        <w:autoSpaceDE w:val="0"/>
        <w:autoSpaceDN w:val="0"/>
        <w:adjustRightInd w:val="0"/>
        <w:spacing w:line="276" w:lineRule="auto"/>
        <w:ind w:right="334"/>
        <w:jc w:val="both"/>
        <w:rPr>
          <w:rFonts w:ascii="Verdana" w:eastAsia="Hiragino Sans W3" w:hAnsi="Verdana" w:cstheme="minorHAnsi"/>
          <w:sz w:val="20"/>
          <w:szCs w:val="20"/>
        </w:rPr>
      </w:pPr>
    </w:p>
    <w:p w14:paraId="5C033D60" w14:textId="77777777" w:rsidR="00300DEF" w:rsidRPr="00333449" w:rsidRDefault="00300DEF" w:rsidP="002F379B">
      <w:pPr>
        <w:autoSpaceDE w:val="0"/>
        <w:autoSpaceDN w:val="0"/>
        <w:adjustRightInd w:val="0"/>
        <w:spacing w:line="276" w:lineRule="auto"/>
        <w:ind w:right="334"/>
        <w:jc w:val="both"/>
        <w:rPr>
          <w:rFonts w:ascii="Verdana" w:eastAsia="Hiragino Sans W3" w:hAnsi="Verdana" w:cstheme="minorHAnsi"/>
          <w:sz w:val="20"/>
          <w:szCs w:val="20"/>
        </w:rPr>
      </w:pPr>
    </w:p>
    <w:p w14:paraId="00ACE7FC" w14:textId="743CCFF7" w:rsidR="002F379B" w:rsidRPr="00333449" w:rsidRDefault="002F379B" w:rsidP="002F379B">
      <w:pPr>
        <w:autoSpaceDE w:val="0"/>
        <w:autoSpaceDN w:val="0"/>
        <w:adjustRightInd w:val="0"/>
        <w:spacing w:line="276" w:lineRule="auto"/>
        <w:ind w:right="334"/>
        <w:jc w:val="both"/>
        <w:rPr>
          <w:rFonts w:ascii="Verdana" w:eastAsia="Hiragino Sans W3" w:hAnsi="Verdana" w:cstheme="minorHAnsi"/>
          <w:sz w:val="18"/>
          <w:szCs w:val="18"/>
        </w:rPr>
      </w:pPr>
      <w:r w:rsidRPr="00333449">
        <w:rPr>
          <w:rFonts w:ascii="Verdana" w:eastAsia="Hiragino Sans W3" w:hAnsi="Verdana" w:cstheme="minorHAnsi"/>
          <w:sz w:val="18"/>
          <w:szCs w:val="18"/>
        </w:rPr>
        <w:t xml:space="preserve">Η </w:t>
      </w:r>
      <w:r w:rsidR="00BE614D" w:rsidRPr="00333449">
        <w:rPr>
          <w:rFonts w:ascii="Verdana" w:eastAsia="Hiragino Sans W3" w:hAnsi="Verdana" w:cstheme="minorHAnsi"/>
          <w:sz w:val="18"/>
          <w:szCs w:val="18"/>
        </w:rPr>
        <w:t xml:space="preserve">Εξαμηνιαία </w:t>
      </w:r>
      <w:r w:rsidRPr="00333449">
        <w:rPr>
          <w:rFonts w:ascii="Verdana" w:eastAsia="Hiragino Sans W3" w:hAnsi="Verdana" w:cstheme="minorHAnsi"/>
          <w:sz w:val="18"/>
          <w:szCs w:val="18"/>
        </w:rPr>
        <w:t>Οικονομική Έκθεση και τα Στοι</w:t>
      </w:r>
      <w:r w:rsidR="00BE614D" w:rsidRPr="00333449">
        <w:rPr>
          <w:rFonts w:ascii="Verdana" w:eastAsia="Hiragino Sans W3" w:hAnsi="Verdana" w:cstheme="minorHAnsi"/>
          <w:sz w:val="18"/>
          <w:szCs w:val="18"/>
        </w:rPr>
        <w:t xml:space="preserve">χεία και Πληροφορίες Ά </w:t>
      </w:r>
      <w:r w:rsidR="00C13ECE" w:rsidRPr="00333449">
        <w:rPr>
          <w:rFonts w:ascii="Verdana" w:eastAsia="Hiragino Sans W3" w:hAnsi="Verdana" w:cstheme="minorHAnsi"/>
          <w:sz w:val="18"/>
          <w:szCs w:val="18"/>
        </w:rPr>
        <w:t>εξαμήνου</w:t>
      </w:r>
      <w:r w:rsidR="00BE614D" w:rsidRPr="00333449">
        <w:rPr>
          <w:rFonts w:ascii="Verdana" w:eastAsia="Hiragino Sans W3" w:hAnsi="Verdana" w:cstheme="minorHAnsi"/>
          <w:sz w:val="18"/>
          <w:szCs w:val="18"/>
        </w:rPr>
        <w:t xml:space="preserve"> 2022</w:t>
      </w:r>
      <w:r w:rsidRPr="00333449">
        <w:rPr>
          <w:rFonts w:ascii="Verdana" w:eastAsia="Hiragino Sans W3" w:hAnsi="Verdana" w:cstheme="minorHAnsi"/>
          <w:sz w:val="18"/>
          <w:szCs w:val="18"/>
        </w:rPr>
        <w:t xml:space="preserve"> είναι αναρτημένα στην εταιρική ιστοσελίδα </w:t>
      </w:r>
      <w:r w:rsidR="00E02957">
        <w:fldChar w:fldCharType="begin"/>
      </w:r>
      <w:r w:rsidR="00E02957">
        <w:instrText xml:space="preserve"> HYPERLINK "http://www.eydap.gr" </w:instrText>
      </w:r>
      <w:r w:rsidR="00E02957">
        <w:fldChar w:fldCharType="separate"/>
      </w:r>
      <w:r w:rsidRPr="00333449">
        <w:rPr>
          <w:rFonts w:ascii="Verdana" w:eastAsia="Hiragino Sans W3" w:hAnsi="Verdana" w:cstheme="minorHAnsi"/>
          <w:sz w:val="18"/>
          <w:szCs w:val="18"/>
          <w:lang w:val="en-GB"/>
        </w:rPr>
        <w:t>www</w:t>
      </w:r>
      <w:r w:rsidRPr="00333449">
        <w:rPr>
          <w:rFonts w:ascii="Verdana" w:eastAsia="Hiragino Sans W3" w:hAnsi="Verdana" w:cstheme="minorHAnsi"/>
          <w:sz w:val="18"/>
          <w:szCs w:val="18"/>
        </w:rPr>
        <w:t>.</w:t>
      </w:r>
      <w:proofErr w:type="spellStart"/>
      <w:r w:rsidRPr="00333449">
        <w:rPr>
          <w:rFonts w:ascii="Verdana" w:eastAsia="Hiragino Sans W3" w:hAnsi="Verdana" w:cstheme="minorHAnsi"/>
          <w:sz w:val="18"/>
          <w:szCs w:val="18"/>
          <w:lang w:val="en-GB"/>
        </w:rPr>
        <w:t>eydap</w:t>
      </w:r>
      <w:proofErr w:type="spellEnd"/>
      <w:r w:rsidRPr="00333449">
        <w:rPr>
          <w:rFonts w:ascii="Verdana" w:eastAsia="Hiragino Sans W3" w:hAnsi="Verdana" w:cstheme="minorHAnsi"/>
          <w:sz w:val="18"/>
          <w:szCs w:val="18"/>
        </w:rPr>
        <w:t>.</w:t>
      </w:r>
      <w:r w:rsidRPr="00333449">
        <w:rPr>
          <w:rFonts w:ascii="Verdana" w:eastAsia="Hiragino Sans W3" w:hAnsi="Verdana" w:cstheme="minorHAnsi"/>
          <w:sz w:val="18"/>
          <w:szCs w:val="18"/>
          <w:lang w:val="en-GB"/>
        </w:rPr>
        <w:t>gr</w:t>
      </w:r>
      <w:r w:rsidR="00E02957">
        <w:rPr>
          <w:rFonts w:ascii="Verdana" w:eastAsia="Hiragino Sans W3" w:hAnsi="Verdana" w:cstheme="minorHAnsi"/>
          <w:sz w:val="18"/>
          <w:szCs w:val="18"/>
          <w:lang w:val="en-GB"/>
        </w:rPr>
        <w:fldChar w:fldCharType="end"/>
      </w:r>
    </w:p>
    <w:p w14:paraId="044C5A75" w14:textId="164370C6" w:rsidR="002F379B" w:rsidRPr="00333449" w:rsidRDefault="002F379B" w:rsidP="002F379B">
      <w:pPr>
        <w:autoSpaceDE w:val="0"/>
        <w:autoSpaceDN w:val="0"/>
        <w:adjustRightInd w:val="0"/>
        <w:spacing w:line="276" w:lineRule="auto"/>
        <w:ind w:right="334"/>
        <w:jc w:val="both"/>
        <w:rPr>
          <w:rFonts w:ascii="Verdana" w:eastAsia="Hiragino Sans W3" w:hAnsi="Verdana" w:cstheme="minorHAnsi"/>
          <w:sz w:val="20"/>
          <w:szCs w:val="20"/>
        </w:rPr>
      </w:pPr>
      <w:r w:rsidRPr="00333449">
        <w:rPr>
          <w:rFonts w:ascii="Verdana" w:eastAsia="Hiragino Sans W3" w:hAnsi="Verdana" w:cstheme="minorHAnsi"/>
          <w:sz w:val="18"/>
          <w:szCs w:val="18"/>
        </w:rPr>
        <w:t>Τα οικονομικά μεγέθη που αναφέρονται στην ανακοίνωση αφορούν στην Εταιρεία εκτός και αν αναφέρονται διαφορετικά</w:t>
      </w:r>
      <w:r w:rsidRPr="00333449">
        <w:rPr>
          <w:rFonts w:ascii="Verdana" w:eastAsia="Hiragino Sans W3" w:hAnsi="Verdana" w:cstheme="minorHAnsi"/>
          <w:sz w:val="20"/>
          <w:szCs w:val="20"/>
        </w:rPr>
        <w:t>.</w:t>
      </w:r>
    </w:p>
    <w:p w14:paraId="6F926EBD" w14:textId="77777777" w:rsidR="004B4EF2" w:rsidRPr="00333449" w:rsidRDefault="000B0DD7">
      <w:pPr>
        <w:rPr>
          <w:rFonts w:ascii="Verdana" w:hAnsi="Verdana" w:cstheme="minorHAnsi"/>
          <w:sz w:val="20"/>
          <w:szCs w:val="20"/>
        </w:rPr>
      </w:pPr>
    </w:p>
    <w:sectPr w:rsidR="004B4EF2" w:rsidRPr="00333449" w:rsidSect="00D87B70">
      <w:headerReference w:type="default" r:id="rId9"/>
      <w:footerReference w:type="default" r:id="rId10"/>
      <w:pgSz w:w="12240" w:h="15840"/>
      <w:pgMar w:top="1440" w:right="1440" w:bottom="1440"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71843" w16cex:dateUtc="2022-09-22T14:22:00Z"/>
  <w16cex:commentExtensible w16cex:durableId="26D718B3" w16cex:dateUtc="2022-09-22T14:24:00Z"/>
  <w16cex:commentExtensible w16cex:durableId="26D718CA" w16cex:dateUtc="2022-09-22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414EF" w16cid:durableId="26D71843"/>
  <w16cid:commentId w16cid:paraId="19FDCC5C" w16cid:durableId="26D718B3"/>
  <w16cid:commentId w16cid:paraId="58CE1573" w16cid:durableId="26D71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36E64" w14:textId="77777777" w:rsidR="000B0DD7" w:rsidRDefault="000B0DD7" w:rsidP="0021247A">
      <w:r>
        <w:separator/>
      </w:r>
    </w:p>
  </w:endnote>
  <w:endnote w:type="continuationSeparator" w:id="0">
    <w:p w14:paraId="01984DEA" w14:textId="77777777" w:rsidR="000B0DD7" w:rsidRDefault="000B0DD7" w:rsidP="0021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Hiragino Sans W3">
    <w:charset w:val="80"/>
    <w:family w:val="swiss"/>
    <w:pitch w:val="variable"/>
    <w:sig w:usb0="E00002FF" w:usb1="7AC7FFFF" w:usb2="00000012" w:usb3="00000000" w:csb0="0002000D"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F74B4" w14:textId="77777777" w:rsidR="00300DEF" w:rsidRPr="00C41E34" w:rsidRDefault="00300DEF" w:rsidP="00300DEF">
    <w:pPr>
      <w:jc w:val="both"/>
      <w:rPr>
        <w:b/>
        <w:color w:val="365F91"/>
        <w:sz w:val="20"/>
        <w:szCs w:val="20"/>
      </w:rPr>
    </w:pPr>
    <w:r w:rsidRPr="00C41E34">
      <w:rPr>
        <w:b/>
        <w:color w:val="365F91"/>
        <w:sz w:val="20"/>
        <w:szCs w:val="20"/>
      </w:rPr>
      <w:t xml:space="preserve">Υπηρεσία Εξυπηρέτησης Μετόχων και Εταιρικών Ανακοινώσεων </w:t>
    </w:r>
  </w:p>
  <w:p w14:paraId="12AD06D1" w14:textId="77777777" w:rsidR="00300DEF" w:rsidRPr="00C41E34" w:rsidRDefault="00300DEF" w:rsidP="00300DEF">
    <w:pPr>
      <w:jc w:val="both"/>
      <w:rPr>
        <w:b/>
        <w:color w:val="365F91"/>
        <w:sz w:val="20"/>
        <w:szCs w:val="20"/>
        <w:lang w:val="en-US"/>
      </w:rPr>
    </w:pPr>
    <w:r w:rsidRPr="00C41E34">
      <w:rPr>
        <w:b/>
        <w:color w:val="365F91"/>
        <w:sz w:val="20"/>
        <w:szCs w:val="20"/>
        <w:lang w:val="en-US"/>
      </w:rPr>
      <w:t>eydap-met@eydap.gr</w:t>
    </w:r>
  </w:p>
  <w:p w14:paraId="12EB4949" w14:textId="77777777" w:rsidR="00300DEF" w:rsidRDefault="00300DEF" w:rsidP="00300DEF">
    <w:pPr>
      <w:pStyle w:val="Footer"/>
    </w:pPr>
  </w:p>
  <w:p w14:paraId="1C8947F1" w14:textId="77777777" w:rsidR="00300DEF" w:rsidRDefault="00300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09F11" w14:textId="77777777" w:rsidR="000B0DD7" w:rsidRDefault="000B0DD7" w:rsidP="0021247A">
      <w:r>
        <w:separator/>
      </w:r>
    </w:p>
  </w:footnote>
  <w:footnote w:type="continuationSeparator" w:id="0">
    <w:p w14:paraId="78F3A0EF" w14:textId="77777777" w:rsidR="000B0DD7" w:rsidRDefault="000B0DD7" w:rsidP="0021247A">
      <w:r>
        <w:continuationSeparator/>
      </w:r>
    </w:p>
  </w:footnote>
  <w:footnote w:id="1">
    <w:p w14:paraId="38C221D4" w14:textId="78C7870A" w:rsidR="0021247A" w:rsidRPr="009C2745" w:rsidRDefault="0021247A" w:rsidP="0021247A">
      <w:pPr>
        <w:pStyle w:val="FootnoteText"/>
        <w:rPr>
          <w:rFonts w:ascii="Calibri" w:hAnsi="Calibri"/>
          <w:sz w:val="18"/>
          <w:szCs w:val="18"/>
        </w:rPr>
      </w:pPr>
      <w:r>
        <w:rPr>
          <w:rStyle w:val="FootnoteReference"/>
        </w:rPr>
        <w:footnoteRef/>
      </w:r>
      <w:r>
        <w:t xml:space="preserve"> </w:t>
      </w:r>
      <w:r w:rsidRPr="00532DD5">
        <w:rPr>
          <w:rFonts w:ascii="Calibri" w:hAnsi="Calibri"/>
          <w:sz w:val="18"/>
          <w:szCs w:val="18"/>
        </w:rPr>
        <w:t>Εναλλακτικοί Δείκτες Μέτρησης Απόδοσης: Για επεξηγήσεις και υπολογισμό των δεικτών βλ. Ενότητα: «Εναλλακτικοί Δείκτες Μέτρησης Απόδοσης»</w:t>
      </w:r>
      <w:r w:rsidR="009C2745">
        <w:rPr>
          <w:rFonts w:ascii="Calibri" w:hAnsi="Calibri"/>
          <w:sz w:val="18"/>
          <w:szCs w:val="18"/>
        </w:rPr>
        <w:t xml:space="preserve"> στην Εξαμηνιαία Έκθεση του Διοικητικού Συμβουλίου που είναι αναρτημένη στην ιστοσελίδα της Εταιρείας στο </w:t>
      </w:r>
      <w:r w:rsidR="00E02957">
        <w:fldChar w:fldCharType="begin"/>
      </w:r>
      <w:r w:rsidR="00E02957">
        <w:instrText xml:space="preserve"> HYPERLINK "http://www.eydap.gr" </w:instrText>
      </w:r>
      <w:r w:rsidR="00E02957">
        <w:fldChar w:fldCharType="separate"/>
      </w:r>
      <w:r w:rsidR="009C2745" w:rsidRPr="00DF6009">
        <w:rPr>
          <w:rStyle w:val="Hyperlink"/>
          <w:rFonts w:ascii="Calibri" w:hAnsi="Calibri"/>
          <w:sz w:val="18"/>
          <w:szCs w:val="18"/>
          <w:lang w:val="en-GB"/>
        </w:rPr>
        <w:t>www</w:t>
      </w:r>
      <w:r w:rsidR="009C2745" w:rsidRPr="009C2745">
        <w:rPr>
          <w:rStyle w:val="Hyperlink"/>
          <w:rFonts w:ascii="Calibri" w:hAnsi="Calibri"/>
          <w:sz w:val="18"/>
          <w:szCs w:val="18"/>
        </w:rPr>
        <w:t>.</w:t>
      </w:r>
      <w:proofErr w:type="spellStart"/>
      <w:r w:rsidR="009C2745" w:rsidRPr="00DF6009">
        <w:rPr>
          <w:rStyle w:val="Hyperlink"/>
          <w:rFonts w:ascii="Calibri" w:hAnsi="Calibri"/>
          <w:sz w:val="18"/>
          <w:szCs w:val="18"/>
          <w:lang w:val="en-GB"/>
        </w:rPr>
        <w:t>eydap</w:t>
      </w:r>
      <w:proofErr w:type="spellEnd"/>
      <w:r w:rsidR="009C2745" w:rsidRPr="009C2745">
        <w:rPr>
          <w:rStyle w:val="Hyperlink"/>
          <w:rFonts w:ascii="Calibri" w:hAnsi="Calibri"/>
          <w:sz w:val="18"/>
          <w:szCs w:val="18"/>
        </w:rPr>
        <w:t>.</w:t>
      </w:r>
      <w:r w:rsidR="009C2745" w:rsidRPr="00DF6009">
        <w:rPr>
          <w:rStyle w:val="Hyperlink"/>
          <w:rFonts w:ascii="Calibri" w:hAnsi="Calibri"/>
          <w:sz w:val="18"/>
          <w:szCs w:val="18"/>
          <w:lang w:val="en-GB"/>
        </w:rPr>
        <w:t>gr</w:t>
      </w:r>
      <w:r w:rsidR="00E02957">
        <w:rPr>
          <w:rStyle w:val="Hyperlink"/>
          <w:rFonts w:ascii="Calibri" w:hAnsi="Calibri"/>
          <w:sz w:val="18"/>
          <w:szCs w:val="18"/>
          <w:lang w:val="en-GB"/>
        </w:rPr>
        <w:fldChar w:fldCharType="end"/>
      </w:r>
      <w:r w:rsidR="009C2745" w:rsidRPr="009C2745">
        <w:rPr>
          <w:rFonts w:ascii="Calibri" w:hAnsi="Calibri"/>
          <w:sz w:val="18"/>
          <w:szCs w:val="18"/>
        </w:rPr>
        <w:t xml:space="preserve"> </w:t>
      </w:r>
    </w:p>
    <w:p w14:paraId="0A98920B" w14:textId="77777777" w:rsidR="0021247A" w:rsidRPr="00532DD5" w:rsidRDefault="0021247A" w:rsidP="0021247A">
      <w:pPr>
        <w:pStyle w:val="FootnoteText"/>
        <w:rPr>
          <w:rFonts w:ascii="Calibri" w:hAnsi="Calibr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4194C" w14:textId="1333CB71" w:rsidR="00300DEF" w:rsidRDefault="00300DEF">
    <w:pPr>
      <w:pStyle w:val="Header"/>
    </w:pPr>
    <w:r w:rsidRPr="00974AE4">
      <w:rPr>
        <w:noProof/>
        <w:color w:val="0000FF"/>
        <w:lang w:eastAsia="el-GR"/>
      </w:rPr>
      <w:drawing>
        <wp:inline distT="0" distB="0" distL="0" distR="0" wp14:anchorId="0DB3E876" wp14:editId="0704767C">
          <wp:extent cx="1554480" cy="402336"/>
          <wp:effectExtent l="0" t="0" r="762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236" cy="4108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1007D73"/>
    <w:multiLevelType w:val="hybridMultilevel"/>
    <w:tmpl w:val="FDC2C8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A467D7"/>
    <w:multiLevelType w:val="hybridMultilevel"/>
    <w:tmpl w:val="D98682CE"/>
    <w:lvl w:ilvl="0" w:tplc="B186D392">
      <w:start w:val="1"/>
      <w:numFmt w:val="bullet"/>
      <w:lvlText w:val=""/>
      <w:lvlJc w:val="left"/>
      <w:pPr>
        <w:tabs>
          <w:tab w:val="num" w:pos="720"/>
        </w:tabs>
        <w:ind w:left="720" w:hanging="360"/>
      </w:pPr>
      <w:rPr>
        <w:rFonts w:ascii="Wingdings" w:hAnsi="Wingdings" w:hint="default"/>
      </w:rPr>
    </w:lvl>
    <w:lvl w:ilvl="1" w:tplc="2C12F5BA" w:tentative="1">
      <w:start w:val="1"/>
      <w:numFmt w:val="bullet"/>
      <w:lvlText w:val=""/>
      <w:lvlJc w:val="left"/>
      <w:pPr>
        <w:tabs>
          <w:tab w:val="num" w:pos="1440"/>
        </w:tabs>
        <w:ind w:left="1440" w:hanging="360"/>
      </w:pPr>
      <w:rPr>
        <w:rFonts w:ascii="Wingdings" w:hAnsi="Wingdings" w:hint="default"/>
      </w:rPr>
    </w:lvl>
    <w:lvl w:ilvl="2" w:tplc="63425ECE" w:tentative="1">
      <w:start w:val="1"/>
      <w:numFmt w:val="bullet"/>
      <w:lvlText w:val=""/>
      <w:lvlJc w:val="left"/>
      <w:pPr>
        <w:tabs>
          <w:tab w:val="num" w:pos="2160"/>
        </w:tabs>
        <w:ind w:left="2160" w:hanging="360"/>
      </w:pPr>
      <w:rPr>
        <w:rFonts w:ascii="Wingdings" w:hAnsi="Wingdings" w:hint="default"/>
      </w:rPr>
    </w:lvl>
    <w:lvl w:ilvl="3" w:tplc="827AE49C" w:tentative="1">
      <w:start w:val="1"/>
      <w:numFmt w:val="bullet"/>
      <w:lvlText w:val=""/>
      <w:lvlJc w:val="left"/>
      <w:pPr>
        <w:tabs>
          <w:tab w:val="num" w:pos="2880"/>
        </w:tabs>
        <w:ind w:left="2880" w:hanging="360"/>
      </w:pPr>
      <w:rPr>
        <w:rFonts w:ascii="Wingdings" w:hAnsi="Wingdings" w:hint="default"/>
      </w:rPr>
    </w:lvl>
    <w:lvl w:ilvl="4" w:tplc="F536C340" w:tentative="1">
      <w:start w:val="1"/>
      <w:numFmt w:val="bullet"/>
      <w:lvlText w:val=""/>
      <w:lvlJc w:val="left"/>
      <w:pPr>
        <w:tabs>
          <w:tab w:val="num" w:pos="3600"/>
        </w:tabs>
        <w:ind w:left="3600" w:hanging="360"/>
      </w:pPr>
      <w:rPr>
        <w:rFonts w:ascii="Wingdings" w:hAnsi="Wingdings" w:hint="default"/>
      </w:rPr>
    </w:lvl>
    <w:lvl w:ilvl="5" w:tplc="02AA93B2" w:tentative="1">
      <w:start w:val="1"/>
      <w:numFmt w:val="bullet"/>
      <w:lvlText w:val=""/>
      <w:lvlJc w:val="left"/>
      <w:pPr>
        <w:tabs>
          <w:tab w:val="num" w:pos="4320"/>
        </w:tabs>
        <w:ind w:left="4320" w:hanging="360"/>
      </w:pPr>
      <w:rPr>
        <w:rFonts w:ascii="Wingdings" w:hAnsi="Wingdings" w:hint="default"/>
      </w:rPr>
    </w:lvl>
    <w:lvl w:ilvl="6" w:tplc="931E8614" w:tentative="1">
      <w:start w:val="1"/>
      <w:numFmt w:val="bullet"/>
      <w:lvlText w:val=""/>
      <w:lvlJc w:val="left"/>
      <w:pPr>
        <w:tabs>
          <w:tab w:val="num" w:pos="5040"/>
        </w:tabs>
        <w:ind w:left="5040" w:hanging="360"/>
      </w:pPr>
      <w:rPr>
        <w:rFonts w:ascii="Wingdings" w:hAnsi="Wingdings" w:hint="default"/>
      </w:rPr>
    </w:lvl>
    <w:lvl w:ilvl="7" w:tplc="3BB0434C" w:tentative="1">
      <w:start w:val="1"/>
      <w:numFmt w:val="bullet"/>
      <w:lvlText w:val=""/>
      <w:lvlJc w:val="left"/>
      <w:pPr>
        <w:tabs>
          <w:tab w:val="num" w:pos="5760"/>
        </w:tabs>
        <w:ind w:left="5760" w:hanging="360"/>
      </w:pPr>
      <w:rPr>
        <w:rFonts w:ascii="Wingdings" w:hAnsi="Wingdings" w:hint="default"/>
      </w:rPr>
    </w:lvl>
    <w:lvl w:ilvl="8" w:tplc="4D8EA23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9B"/>
    <w:rsid w:val="00017525"/>
    <w:rsid w:val="00065384"/>
    <w:rsid w:val="000678D6"/>
    <w:rsid w:val="000923D7"/>
    <w:rsid w:val="000B0DD7"/>
    <w:rsid w:val="000B29F0"/>
    <w:rsid w:val="000D5A76"/>
    <w:rsid w:val="000E69FE"/>
    <w:rsid w:val="000F28E5"/>
    <w:rsid w:val="00154D78"/>
    <w:rsid w:val="0015583D"/>
    <w:rsid w:val="00167A56"/>
    <w:rsid w:val="00172A78"/>
    <w:rsid w:val="00193E4F"/>
    <w:rsid w:val="001B5459"/>
    <w:rsid w:val="001D3E2D"/>
    <w:rsid w:val="001E1834"/>
    <w:rsid w:val="0021247A"/>
    <w:rsid w:val="002E3DE4"/>
    <w:rsid w:val="002F379B"/>
    <w:rsid w:val="002F66BF"/>
    <w:rsid w:val="00300DEF"/>
    <w:rsid w:val="0031320F"/>
    <w:rsid w:val="0032160E"/>
    <w:rsid w:val="00323393"/>
    <w:rsid w:val="00333449"/>
    <w:rsid w:val="00346C5E"/>
    <w:rsid w:val="003808C5"/>
    <w:rsid w:val="00453274"/>
    <w:rsid w:val="004A3B5B"/>
    <w:rsid w:val="004D4A38"/>
    <w:rsid w:val="004E6700"/>
    <w:rsid w:val="005415AC"/>
    <w:rsid w:val="00542C4F"/>
    <w:rsid w:val="0055663D"/>
    <w:rsid w:val="0059641B"/>
    <w:rsid w:val="00642CD4"/>
    <w:rsid w:val="006712CB"/>
    <w:rsid w:val="00671725"/>
    <w:rsid w:val="00684DE3"/>
    <w:rsid w:val="006A23F5"/>
    <w:rsid w:val="006F2275"/>
    <w:rsid w:val="00716D84"/>
    <w:rsid w:val="00717061"/>
    <w:rsid w:val="00722797"/>
    <w:rsid w:val="00737328"/>
    <w:rsid w:val="00755B74"/>
    <w:rsid w:val="00783335"/>
    <w:rsid w:val="007A0D31"/>
    <w:rsid w:val="007C4263"/>
    <w:rsid w:val="007F07A4"/>
    <w:rsid w:val="00812EE8"/>
    <w:rsid w:val="00876826"/>
    <w:rsid w:val="008B36A8"/>
    <w:rsid w:val="008E2FF6"/>
    <w:rsid w:val="008E60BA"/>
    <w:rsid w:val="00944E02"/>
    <w:rsid w:val="00981BB8"/>
    <w:rsid w:val="009C2745"/>
    <w:rsid w:val="00A31AF2"/>
    <w:rsid w:val="00A35B74"/>
    <w:rsid w:val="00A85E97"/>
    <w:rsid w:val="00A902FE"/>
    <w:rsid w:val="00AC052D"/>
    <w:rsid w:val="00B33302"/>
    <w:rsid w:val="00B94EC2"/>
    <w:rsid w:val="00BE614D"/>
    <w:rsid w:val="00C13ECE"/>
    <w:rsid w:val="00C14855"/>
    <w:rsid w:val="00C16301"/>
    <w:rsid w:val="00C452A1"/>
    <w:rsid w:val="00CA6E49"/>
    <w:rsid w:val="00D41761"/>
    <w:rsid w:val="00D65978"/>
    <w:rsid w:val="00DA1ED7"/>
    <w:rsid w:val="00E02957"/>
    <w:rsid w:val="00E53565"/>
    <w:rsid w:val="00F008AB"/>
    <w:rsid w:val="00F74D51"/>
    <w:rsid w:val="00F803E5"/>
    <w:rsid w:val="00F94DFA"/>
    <w:rsid w:val="00FF7F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luations2">
    <w:name w:val="Valuations 2"/>
    <w:basedOn w:val="Normal"/>
    <w:qFormat/>
    <w:rsid w:val="00065384"/>
    <w:pPr>
      <w:ind w:left="-1985"/>
    </w:pPr>
    <w:rPr>
      <w:rFonts w:ascii="Arial" w:eastAsia="Arial Unicode MS" w:hAnsi="Arial" w:cs="Times New Roman"/>
      <w:b/>
      <w:caps/>
      <w:color w:val="44546A" w:themeColor="text2"/>
      <w:szCs w:val="32"/>
    </w:rPr>
  </w:style>
  <w:style w:type="paragraph" w:styleId="ListParagraph">
    <w:name w:val="List Paragraph"/>
    <w:basedOn w:val="Normal"/>
    <w:uiPriority w:val="34"/>
    <w:qFormat/>
    <w:rsid w:val="002F379B"/>
    <w:pPr>
      <w:ind w:left="720"/>
      <w:contextualSpacing/>
    </w:pPr>
  </w:style>
  <w:style w:type="character" w:styleId="CommentReference">
    <w:name w:val="annotation reference"/>
    <w:basedOn w:val="DefaultParagraphFont"/>
    <w:uiPriority w:val="99"/>
    <w:semiHidden/>
    <w:unhideWhenUsed/>
    <w:rsid w:val="00323393"/>
    <w:rPr>
      <w:sz w:val="16"/>
      <w:szCs w:val="16"/>
    </w:rPr>
  </w:style>
  <w:style w:type="paragraph" w:styleId="CommentText">
    <w:name w:val="annotation text"/>
    <w:basedOn w:val="Normal"/>
    <w:link w:val="CommentTextChar"/>
    <w:uiPriority w:val="99"/>
    <w:unhideWhenUsed/>
    <w:rsid w:val="00323393"/>
    <w:rPr>
      <w:sz w:val="20"/>
      <w:szCs w:val="20"/>
    </w:rPr>
  </w:style>
  <w:style w:type="character" w:customStyle="1" w:styleId="CommentTextChar">
    <w:name w:val="Comment Text Char"/>
    <w:basedOn w:val="DefaultParagraphFont"/>
    <w:link w:val="CommentText"/>
    <w:uiPriority w:val="99"/>
    <w:rsid w:val="00323393"/>
    <w:rPr>
      <w:sz w:val="20"/>
      <w:szCs w:val="20"/>
    </w:rPr>
  </w:style>
  <w:style w:type="paragraph" w:styleId="CommentSubject">
    <w:name w:val="annotation subject"/>
    <w:basedOn w:val="CommentText"/>
    <w:next w:val="CommentText"/>
    <w:link w:val="CommentSubjectChar"/>
    <w:uiPriority w:val="99"/>
    <w:semiHidden/>
    <w:unhideWhenUsed/>
    <w:rsid w:val="00323393"/>
    <w:rPr>
      <w:b/>
      <w:bCs/>
    </w:rPr>
  </w:style>
  <w:style w:type="character" w:customStyle="1" w:styleId="CommentSubjectChar">
    <w:name w:val="Comment Subject Char"/>
    <w:basedOn w:val="CommentTextChar"/>
    <w:link w:val="CommentSubject"/>
    <w:uiPriority w:val="99"/>
    <w:semiHidden/>
    <w:rsid w:val="00323393"/>
    <w:rPr>
      <w:b/>
      <w:bCs/>
      <w:sz w:val="20"/>
      <w:szCs w:val="20"/>
    </w:rPr>
  </w:style>
  <w:style w:type="paragraph" w:styleId="BalloonText">
    <w:name w:val="Balloon Text"/>
    <w:basedOn w:val="Normal"/>
    <w:link w:val="BalloonTextChar"/>
    <w:uiPriority w:val="99"/>
    <w:semiHidden/>
    <w:unhideWhenUsed/>
    <w:rsid w:val="007833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335"/>
    <w:rPr>
      <w:rFonts w:ascii="Segoe UI" w:hAnsi="Segoe UI" w:cs="Segoe UI"/>
      <w:sz w:val="18"/>
      <w:szCs w:val="18"/>
    </w:rPr>
  </w:style>
  <w:style w:type="paragraph" w:styleId="FootnoteText">
    <w:name w:val="footnote text"/>
    <w:basedOn w:val="Normal"/>
    <w:link w:val="FootnoteTextChar"/>
    <w:uiPriority w:val="99"/>
    <w:semiHidden/>
    <w:unhideWhenUsed/>
    <w:rsid w:val="0021247A"/>
    <w:rPr>
      <w:sz w:val="20"/>
      <w:szCs w:val="20"/>
    </w:rPr>
  </w:style>
  <w:style w:type="character" w:customStyle="1" w:styleId="FootnoteTextChar">
    <w:name w:val="Footnote Text Char"/>
    <w:basedOn w:val="DefaultParagraphFont"/>
    <w:link w:val="FootnoteText"/>
    <w:uiPriority w:val="99"/>
    <w:semiHidden/>
    <w:rsid w:val="0021247A"/>
    <w:rPr>
      <w:sz w:val="20"/>
      <w:szCs w:val="20"/>
    </w:rPr>
  </w:style>
  <w:style w:type="character" w:styleId="FootnoteReference">
    <w:name w:val="footnote reference"/>
    <w:uiPriority w:val="99"/>
    <w:unhideWhenUsed/>
    <w:rsid w:val="0021247A"/>
    <w:rPr>
      <w:vertAlign w:val="superscript"/>
    </w:rPr>
  </w:style>
  <w:style w:type="character" w:styleId="Hyperlink">
    <w:name w:val="Hyperlink"/>
    <w:basedOn w:val="DefaultParagraphFont"/>
    <w:uiPriority w:val="99"/>
    <w:unhideWhenUsed/>
    <w:rsid w:val="009C2745"/>
    <w:rPr>
      <w:color w:val="0563C1" w:themeColor="hyperlink"/>
      <w:u w:val="single"/>
    </w:rPr>
  </w:style>
  <w:style w:type="paragraph" w:styleId="Header">
    <w:name w:val="header"/>
    <w:basedOn w:val="Normal"/>
    <w:link w:val="HeaderChar"/>
    <w:uiPriority w:val="99"/>
    <w:unhideWhenUsed/>
    <w:rsid w:val="00300DEF"/>
    <w:pPr>
      <w:tabs>
        <w:tab w:val="center" w:pos="4153"/>
        <w:tab w:val="right" w:pos="8306"/>
      </w:tabs>
    </w:pPr>
  </w:style>
  <w:style w:type="character" w:customStyle="1" w:styleId="HeaderChar">
    <w:name w:val="Header Char"/>
    <w:basedOn w:val="DefaultParagraphFont"/>
    <w:link w:val="Header"/>
    <w:uiPriority w:val="99"/>
    <w:rsid w:val="00300DEF"/>
  </w:style>
  <w:style w:type="paragraph" w:styleId="Footer">
    <w:name w:val="footer"/>
    <w:basedOn w:val="Normal"/>
    <w:link w:val="FooterChar"/>
    <w:uiPriority w:val="99"/>
    <w:unhideWhenUsed/>
    <w:rsid w:val="00300DEF"/>
    <w:pPr>
      <w:tabs>
        <w:tab w:val="center" w:pos="4153"/>
        <w:tab w:val="right" w:pos="8306"/>
      </w:tabs>
    </w:pPr>
  </w:style>
  <w:style w:type="character" w:customStyle="1" w:styleId="FooterChar">
    <w:name w:val="Footer Char"/>
    <w:basedOn w:val="DefaultParagraphFont"/>
    <w:link w:val="Footer"/>
    <w:uiPriority w:val="99"/>
    <w:rsid w:val="00300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luations2">
    <w:name w:val="Valuations 2"/>
    <w:basedOn w:val="Normal"/>
    <w:qFormat/>
    <w:rsid w:val="00065384"/>
    <w:pPr>
      <w:ind w:left="-1985"/>
    </w:pPr>
    <w:rPr>
      <w:rFonts w:ascii="Arial" w:eastAsia="Arial Unicode MS" w:hAnsi="Arial" w:cs="Times New Roman"/>
      <w:b/>
      <w:caps/>
      <w:color w:val="44546A" w:themeColor="text2"/>
      <w:szCs w:val="32"/>
    </w:rPr>
  </w:style>
  <w:style w:type="paragraph" w:styleId="ListParagraph">
    <w:name w:val="List Paragraph"/>
    <w:basedOn w:val="Normal"/>
    <w:uiPriority w:val="34"/>
    <w:qFormat/>
    <w:rsid w:val="002F379B"/>
    <w:pPr>
      <w:ind w:left="720"/>
      <w:contextualSpacing/>
    </w:pPr>
  </w:style>
  <w:style w:type="character" w:styleId="CommentReference">
    <w:name w:val="annotation reference"/>
    <w:basedOn w:val="DefaultParagraphFont"/>
    <w:uiPriority w:val="99"/>
    <w:semiHidden/>
    <w:unhideWhenUsed/>
    <w:rsid w:val="00323393"/>
    <w:rPr>
      <w:sz w:val="16"/>
      <w:szCs w:val="16"/>
    </w:rPr>
  </w:style>
  <w:style w:type="paragraph" w:styleId="CommentText">
    <w:name w:val="annotation text"/>
    <w:basedOn w:val="Normal"/>
    <w:link w:val="CommentTextChar"/>
    <w:uiPriority w:val="99"/>
    <w:unhideWhenUsed/>
    <w:rsid w:val="00323393"/>
    <w:rPr>
      <w:sz w:val="20"/>
      <w:szCs w:val="20"/>
    </w:rPr>
  </w:style>
  <w:style w:type="character" w:customStyle="1" w:styleId="CommentTextChar">
    <w:name w:val="Comment Text Char"/>
    <w:basedOn w:val="DefaultParagraphFont"/>
    <w:link w:val="CommentText"/>
    <w:uiPriority w:val="99"/>
    <w:rsid w:val="00323393"/>
    <w:rPr>
      <w:sz w:val="20"/>
      <w:szCs w:val="20"/>
    </w:rPr>
  </w:style>
  <w:style w:type="paragraph" w:styleId="CommentSubject">
    <w:name w:val="annotation subject"/>
    <w:basedOn w:val="CommentText"/>
    <w:next w:val="CommentText"/>
    <w:link w:val="CommentSubjectChar"/>
    <w:uiPriority w:val="99"/>
    <w:semiHidden/>
    <w:unhideWhenUsed/>
    <w:rsid w:val="00323393"/>
    <w:rPr>
      <w:b/>
      <w:bCs/>
    </w:rPr>
  </w:style>
  <w:style w:type="character" w:customStyle="1" w:styleId="CommentSubjectChar">
    <w:name w:val="Comment Subject Char"/>
    <w:basedOn w:val="CommentTextChar"/>
    <w:link w:val="CommentSubject"/>
    <w:uiPriority w:val="99"/>
    <w:semiHidden/>
    <w:rsid w:val="00323393"/>
    <w:rPr>
      <w:b/>
      <w:bCs/>
      <w:sz w:val="20"/>
      <w:szCs w:val="20"/>
    </w:rPr>
  </w:style>
  <w:style w:type="paragraph" w:styleId="BalloonText">
    <w:name w:val="Balloon Text"/>
    <w:basedOn w:val="Normal"/>
    <w:link w:val="BalloonTextChar"/>
    <w:uiPriority w:val="99"/>
    <w:semiHidden/>
    <w:unhideWhenUsed/>
    <w:rsid w:val="007833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335"/>
    <w:rPr>
      <w:rFonts w:ascii="Segoe UI" w:hAnsi="Segoe UI" w:cs="Segoe UI"/>
      <w:sz w:val="18"/>
      <w:szCs w:val="18"/>
    </w:rPr>
  </w:style>
  <w:style w:type="paragraph" w:styleId="FootnoteText">
    <w:name w:val="footnote text"/>
    <w:basedOn w:val="Normal"/>
    <w:link w:val="FootnoteTextChar"/>
    <w:uiPriority w:val="99"/>
    <w:semiHidden/>
    <w:unhideWhenUsed/>
    <w:rsid w:val="0021247A"/>
    <w:rPr>
      <w:sz w:val="20"/>
      <w:szCs w:val="20"/>
    </w:rPr>
  </w:style>
  <w:style w:type="character" w:customStyle="1" w:styleId="FootnoteTextChar">
    <w:name w:val="Footnote Text Char"/>
    <w:basedOn w:val="DefaultParagraphFont"/>
    <w:link w:val="FootnoteText"/>
    <w:uiPriority w:val="99"/>
    <w:semiHidden/>
    <w:rsid w:val="0021247A"/>
    <w:rPr>
      <w:sz w:val="20"/>
      <w:szCs w:val="20"/>
    </w:rPr>
  </w:style>
  <w:style w:type="character" w:styleId="FootnoteReference">
    <w:name w:val="footnote reference"/>
    <w:uiPriority w:val="99"/>
    <w:unhideWhenUsed/>
    <w:rsid w:val="0021247A"/>
    <w:rPr>
      <w:vertAlign w:val="superscript"/>
    </w:rPr>
  </w:style>
  <w:style w:type="character" w:styleId="Hyperlink">
    <w:name w:val="Hyperlink"/>
    <w:basedOn w:val="DefaultParagraphFont"/>
    <w:uiPriority w:val="99"/>
    <w:unhideWhenUsed/>
    <w:rsid w:val="009C2745"/>
    <w:rPr>
      <w:color w:val="0563C1" w:themeColor="hyperlink"/>
      <w:u w:val="single"/>
    </w:rPr>
  </w:style>
  <w:style w:type="paragraph" w:styleId="Header">
    <w:name w:val="header"/>
    <w:basedOn w:val="Normal"/>
    <w:link w:val="HeaderChar"/>
    <w:uiPriority w:val="99"/>
    <w:unhideWhenUsed/>
    <w:rsid w:val="00300DEF"/>
    <w:pPr>
      <w:tabs>
        <w:tab w:val="center" w:pos="4153"/>
        <w:tab w:val="right" w:pos="8306"/>
      </w:tabs>
    </w:pPr>
  </w:style>
  <w:style w:type="character" w:customStyle="1" w:styleId="HeaderChar">
    <w:name w:val="Header Char"/>
    <w:basedOn w:val="DefaultParagraphFont"/>
    <w:link w:val="Header"/>
    <w:uiPriority w:val="99"/>
    <w:rsid w:val="00300DEF"/>
  </w:style>
  <w:style w:type="paragraph" w:styleId="Footer">
    <w:name w:val="footer"/>
    <w:basedOn w:val="Normal"/>
    <w:link w:val="FooterChar"/>
    <w:uiPriority w:val="99"/>
    <w:unhideWhenUsed/>
    <w:rsid w:val="00300DEF"/>
    <w:pPr>
      <w:tabs>
        <w:tab w:val="center" w:pos="4153"/>
        <w:tab w:val="right" w:pos="8306"/>
      </w:tabs>
    </w:pPr>
  </w:style>
  <w:style w:type="character" w:customStyle="1" w:styleId="FooterChar">
    <w:name w:val="Footer Char"/>
    <w:basedOn w:val="DefaultParagraphFont"/>
    <w:link w:val="Footer"/>
    <w:uiPriority w:val="99"/>
    <w:rsid w:val="0030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245459">
      <w:bodyDiv w:val="1"/>
      <w:marLeft w:val="0"/>
      <w:marRight w:val="0"/>
      <w:marTop w:val="0"/>
      <w:marBottom w:val="0"/>
      <w:divBdr>
        <w:top w:val="none" w:sz="0" w:space="0" w:color="auto"/>
        <w:left w:val="none" w:sz="0" w:space="0" w:color="auto"/>
        <w:bottom w:val="none" w:sz="0" w:space="0" w:color="auto"/>
        <w:right w:val="none" w:sz="0" w:space="0" w:color="auto"/>
      </w:divBdr>
    </w:div>
    <w:div w:id="1503275366">
      <w:bodyDiv w:val="1"/>
      <w:marLeft w:val="0"/>
      <w:marRight w:val="0"/>
      <w:marTop w:val="0"/>
      <w:marBottom w:val="0"/>
      <w:divBdr>
        <w:top w:val="none" w:sz="0" w:space="0" w:color="auto"/>
        <w:left w:val="none" w:sz="0" w:space="0" w:color="auto"/>
        <w:bottom w:val="none" w:sz="0" w:space="0" w:color="auto"/>
        <w:right w:val="none" w:sz="0" w:space="0" w:color="auto"/>
      </w:divBdr>
      <w:divsChild>
        <w:div w:id="12748244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6A350-3CE7-45B9-B535-07E122A3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6825</Characters>
  <Application>Microsoft Office Word</Application>
  <DocSecurity>0</DocSecurity>
  <Lines>56</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ΓΚΑΜΑΛΕΤΣΟΥ ΜΑΡΓΑΡΙΤΑ</dc:creator>
  <cp:lastModifiedBy>eydap-met</cp:lastModifiedBy>
  <cp:revision>3</cp:revision>
  <dcterms:created xsi:type="dcterms:W3CDTF">2022-09-23T05:39:00Z</dcterms:created>
  <dcterms:modified xsi:type="dcterms:W3CDTF">2022-09-23T05:41:00Z</dcterms:modified>
</cp:coreProperties>
</file>