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A8EE8" w14:textId="5DB18F73" w:rsidR="00E50563" w:rsidRPr="00CF445B" w:rsidRDefault="00E54BC8" w:rsidP="00E50563">
      <w:pPr>
        <w:spacing w:after="0" w:line="360" w:lineRule="atLeast"/>
        <w:ind w:firstLine="720"/>
        <w:jc w:val="both"/>
        <w:rPr>
          <w:rFonts w:asciiTheme="majorHAnsi" w:eastAsia="Arial Unicode MS" w:hAnsiTheme="majorHAnsi" w:cstheme="majorHAnsi"/>
          <w:b/>
          <w:sz w:val="24"/>
          <w:szCs w:val="24"/>
          <w:lang w:val="el-GR"/>
        </w:rPr>
      </w:pPr>
      <w:r w:rsidRPr="00E54BC8">
        <w:rPr>
          <w:rFonts w:asciiTheme="majorHAnsi" w:hAnsiTheme="majorHAnsi" w:cstheme="majorHAnsi"/>
          <w:b/>
          <w:noProof/>
          <w:sz w:val="24"/>
          <w:szCs w:val="24"/>
          <w:lang w:val="el-GR" w:eastAsia="el-GR"/>
        </w:rPr>
        <w:drawing>
          <wp:anchor distT="0" distB="0" distL="114300" distR="114300" simplePos="0" relativeHeight="251656704" behindDoc="0" locked="0" layoutInCell="1" allowOverlap="1" wp14:anchorId="0AC3C064" wp14:editId="171FD84E">
            <wp:simplePos x="0" y="0"/>
            <wp:positionH relativeFrom="column">
              <wp:posOffset>2209800</wp:posOffset>
            </wp:positionH>
            <wp:positionV relativeFrom="paragraph">
              <wp:posOffset>-207645</wp:posOffset>
            </wp:positionV>
            <wp:extent cx="1552575" cy="97104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2575" cy="971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D9310D" w14:textId="5BB22E92" w:rsidR="00E50563" w:rsidRPr="00CF445B" w:rsidRDefault="00E50563" w:rsidP="00E50563">
      <w:pPr>
        <w:spacing w:before="100" w:beforeAutospacing="1" w:after="100" w:afterAutospacing="1" w:line="240" w:lineRule="auto"/>
        <w:jc w:val="center"/>
        <w:rPr>
          <w:rFonts w:asciiTheme="majorHAnsi" w:hAnsiTheme="majorHAnsi" w:cstheme="majorHAnsi"/>
          <w:b/>
          <w:sz w:val="24"/>
          <w:szCs w:val="24"/>
          <w:lang w:val="el-GR"/>
        </w:rPr>
      </w:pPr>
    </w:p>
    <w:p w14:paraId="7666C023" w14:textId="77777777" w:rsidR="00E54BC8" w:rsidRDefault="00E54BC8" w:rsidP="00E50563">
      <w:pPr>
        <w:spacing w:before="100" w:beforeAutospacing="1" w:after="100" w:afterAutospacing="1" w:line="360" w:lineRule="auto"/>
        <w:jc w:val="center"/>
        <w:rPr>
          <w:rFonts w:asciiTheme="majorHAnsi" w:hAnsiTheme="majorHAnsi" w:cstheme="majorHAnsi"/>
          <w:b/>
          <w:sz w:val="24"/>
          <w:szCs w:val="24"/>
          <w:lang w:val="el-GR"/>
        </w:rPr>
      </w:pPr>
    </w:p>
    <w:p w14:paraId="693B803C" w14:textId="76B58D58" w:rsidR="00E50563" w:rsidRPr="00CF445B" w:rsidRDefault="00E50563" w:rsidP="00E50563">
      <w:pPr>
        <w:spacing w:before="100" w:beforeAutospacing="1" w:after="100" w:afterAutospacing="1" w:line="360" w:lineRule="auto"/>
        <w:jc w:val="center"/>
        <w:rPr>
          <w:rFonts w:asciiTheme="majorHAnsi" w:hAnsiTheme="majorHAnsi" w:cstheme="majorHAnsi"/>
          <w:b/>
          <w:sz w:val="24"/>
          <w:szCs w:val="24"/>
          <w:lang w:val="el-GR"/>
        </w:rPr>
      </w:pPr>
      <w:r w:rsidRPr="00CF445B">
        <w:rPr>
          <w:rFonts w:asciiTheme="majorHAnsi" w:hAnsiTheme="majorHAnsi" w:cstheme="majorHAnsi"/>
          <w:b/>
          <w:sz w:val="24"/>
          <w:szCs w:val="24"/>
          <w:lang w:val="el-GR"/>
        </w:rPr>
        <w:t>ΑΙΤΙΟΛΟΓΗΜΕΝΗ ΓΝΩΜΗ ΤΟΥ ΔΙΟΙΚΗΤΙΚΟΥ ΣΥΜΒΟΥΛΙΟΥ ΤΗΣ «ΒΥΤΕ CΟΜΡUΤΕR ΑΝΩΝΥΜΗ ΒΙΟΜΗΧΑΝΙΚΗ ΚΑΙ ΕΜΠΟΡΙΚΗ ΕΤΑΙΡΕΙΑ» ΣΧΕΤΙΚΑ ΜΕ ΤΗΝ ΠΡΟΑΙΡΕΤΙΚΗ ΔΗΜΟΣΙΑ ΠΡΟΤΑΣΗ ΤΗΣ «IDEAL H</w:t>
      </w:r>
      <w:r w:rsidRPr="00CF445B">
        <w:rPr>
          <w:rFonts w:asciiTheme="majorHAnsi" w:hAnsiTheme="majorHAnsi" w:cstheme="majorHAnsi"/>
          <w:b/>
          <w:sz w:val="24"/>
          <w:szCs w:val="24"/>
          <w:lang w:val="en-US"/>
        </w:rPr>
        <w:t>OLDINGS</w:t>
      </w:r>
      <w:r w:rsidRPr="00CF445B">
        <w:rPr>
          <w:rFonts w:asciiTheme="majorHAnsi" w:hAnsiTheme="majorHAnsi" w:cstheme="majorHAnsi"/>
          <w:b/>
          <w:sz w:val="24"/>
          <w:szCs w:val="24"/>
          <w:lang w:val="el-GR"/>
        </w:rPr>
        <w:t xml:space="preserve"> A.E.» </w:t>
      </w:r>
    </w:p>
    <w:sdt>
      <w:sdtPr>
        <w:rPr>
          <w:rFonts w:asciiTheme="minorHAnsi" w:eastAsiaTheme="minorHAnsi" w:hAnsiTheme="minorHAnsi" w:cstheme="majorHAnsi"/>
          <w:b w:val="0"/>
          <w:bCs w:val="0"/>
          <w:color w:val="auto"/>
          <w:sz w:val="24"/>
          <w:szCs w:val="24"/>
          <w:lang w:val="en-GB" w:eastAsia="en-US"/>
        </w:rPr>
        <w:id w:val="-1956858668"/>
        <w:docPartObj>
          <w:docPartGallery w:val="Table of Contents"/>
          <w:docPartUnique/>
        </w:docPartObj>
      </w:sdtPr>
      <w:sdtEndPr>
        <w:rPr>
          <w:noProof/>
        </w:rPr>
      </w:sdtEndPr>
      <w:sdtContent>
        <w:p w14:paraId="2AB366B3" w14:textId="77777777" w:rsidR="00E50563" w:rsidRPr="00CF445B" w:rsidRDefault="00E50563" w:rsidP="00E50563">
          <w:pPr>
            <w:pStyle w:val="TOCHeading"/>
            <w:rPr>
              <w:rFonts w:cstheme="majorHAnsi"/>
              <w:color w:val="auto"/>
              <w:sz w:val="24"/>
              <w:szCs w:val="24"/>
              <w:lang w:val="el-GR"/>
            </w:rPr>
          </w:pPr>
          <w:r w:rsidRPr="00CF445B">
            <w:rPr>
              <w:rFonts w:cstheme="majorHAnsi"/>
              <w:color w:val="auto"/>
              <w:sz w:val="24"/>
              <w:szCs w:val="24"/>
              <w:lang w:val="el-GR"/>
            </w:rPr>
            <w:t>Περιεχόμενα</w:t>
          </w:r>
        </w:p>
        <w:p w14:paraId="7E660E1F" w14:textId="3884D6B4" w:rsidR="00AD4132" w:rsidRDefault="00E50563">
          <w:pPr>
            <w:pStyle w:val="TOC1"/>
            <w:tabs>
              <w:tab w:val="right" w:leader="dot" w:pos="9016"/>
            </w:tabs>
            <w:rPr>
              <w:rFonts w:eastAsiaTheme="minorEastAsia"/>
              <w:noProof/>
              <w:lang w:val="el-GR" w:eastAsia="el-GR"/>
            </w:rPr>
          </w:pPr>
          <w:r w:rsidRPr="00CF445B">
            <w:rPr>
              <w:rFonts w:asciiTheme="majorHAnsi" w:hAnsiTheme="majorHAnsi" w:cstheme="majorHAnsi"/>
              <w:sz w:val="24"/>
              <w:szCs w:val="24"/>
            </w:rPr>
            <w:fldChar w:fldCharType="begin"/>
          </w:r>
          <w:r w:rsidRPr="00CF445B">
            <w:rPr>
              <w:rFonts w:asciiTheme="majorHAnsi" w:hAnsiTheme="majorHAnsi" w:cstheme="majorHAnsi"/>
              <w:sz w:val="24"/>
              <w:szCs w:val="24"/>
            </w:rPr>
            <w:instrText xml:space="preserve"> TOC \o "1-3" \h \z \u </w:instrText>
          </w:r>
          <w:r w:rsidRPr="00CF445B">
            <w:rPr>
              <w:rFonts w:asciiTheme="majorHAnsi" w:hAnsiTheme="majorHAnsi" w:cstheme="majorHAnsi"/>
              <w:sz w:val="24"/>
              <w:szCs w:val="24"/>
            </w:rPr>
            <w:fldChar w:fldCharType="separate"/>
          </w:r>
          <w:hyperlink w:anchor="_Toc111202952" w:history="1">
            <w:r w:rsidR="00AD4132" w:rsidRPr="00FC2251">
              <w:rPr>
                <w:rStyle w:val="Hyperlink"/>
                <w:rFonts w:asciiTheme="majorHAnsi" w:hAnsiTheme="majorHAnsi" w:cstheme="majorHAnsi"/>
                <w:b/>
                <w:bCs/>
                <w:noProof/>
                <w:lang w:val="el-GR"/>
              </w:rPr>
              <w:t>1. Εισαγωγή</w:t>
            </w:r>
            <w:r w:rsidR="00AD4132">
              <w:rPr>
                <w:noProof/>
                <w:webHidden/>
              </w:rPr>
              <w:tab/>
            </w:r>
            <w:r w:rsidR="00AD4132">
              <w:rPr>
                <w:noProof/>
                <w:webHidden/>
              </w:rPr>
              <w:fldChar w:fldCharType="begin"/>
            </w:r>
            <w:r w:rsidR="00AD4132">
              <w:rPr>
                <w:noProof/>
                <w:webHidden/>
              </w:rPr>
              <w:instrText xml:space="preserve"> PAGEREF _Toc111202952 \h </w:instrText>
            </w:r>
            <w:r w:rsidR="00AD4132">
              <w:rPr>
                <w:noProof/>
                <w:webHidden/>
              </w:rPr>
            </w:r>
            <w:r w:rsidR="00AD4132">
              <w:rPr>
                <w:noProof/>
                <w:webHidden/>
              </w:rPr>
              <w:fldChar w:fldCharType="separate"/>
            </w:r>
            <w:r w:rsidR="00ED2F1A">
              <w:rPr>
                <w:noProof/>
                <w:webHidden/>
              </w:rPr>
              <w:t>1</w:t>
            </w:r>
            <w:r w:rsidR="00AD4132">
              <w:rPr>
                <w:noProof/>
                <w:webHidden/>
              </w:rPr>
              <w:fldChar w:fldCharType="end"/>
            </w:r>
          </w:hyperlink>
        </w:p>
        <w:p w14:paraId="2C38AFA0" w14:textId="0AF48F27" w:rsidR="00AD4132" w:rsidRDefault="00FA09C9">
          <w:pPr>
            <w:pStyle w:val="TOC1"/>
            <w:tabs>
              <w:tab w:val="right" w:leader="dot" w:pos="9016"/>
            </w:tabs>
            <w:rPr>
              <w:rFonts w:eastAsiaTheme="minorEastAsia"/>
              <w:noProof/>
              <w:lang w:val="el-GR" w:eastAsia="el-GR"/>
            </w:rPr>
          </w:pPr>
          <w:hyperlink w:anchor="_Toc111202953" w:history="1">
            <w:r w:rsidR="00AD4132" w:rsidRPr="00FC2251">
              <w:rPr>
                <w:rStyle w:val="Hyperlink"/>
                <w:rFonts w:asciiTheme="majorHAnsi" w:hAnsiTheme="majorHAnsi" w:cstheme="majorHAnsi"/>
                <w:b/>
                <w:bCs/>
                <w:noProof/>
                <w:lang w:val="el-GR"/>
              </w:rPr>
              <w:t>2. Περιεχόμενο Αιτιολογημένης Γνώμης</w:t>
            </w:r>
            <w:r w:rsidR="00AD4132">
              <w:rPr>
                <w:noProof/>
                <w:webHidden/>
              </w:rPr>
              <w:tab/>
            </w:r>
            <w:r w:rsidR="00AD4132">
              <w:rPr>
                <w:noProof/>
                <w:webHidden/>
              </w:rPr>
              <w:fldChar w:fldCharType="begin"/>
            </w:r>
            <w:r w:rsidR="00AD4132">
              <w:rPr>
                <w:noProof/>
                <w:webHidden/>
              </w:rPr>
              <w:instrText xml:space="preserve"> PAGEREF _Toc111202953 \h </w:instrText>
            </w:r>
            <w:r w:rsidR="00AD4132">
              <w:rPr>
                <w:noProof/>
                <w:webHidden/>
              </w:rPr>
            </w:r>
            <w:r w:rsidR="00AD4132">
              <w:rPr>
                <w:noProof/>
                <w:webHidden/>
              </w:rPr>
              <w:fldChar w:fldCharType="separate"/>
            </w:r>
            <w:r w:rsidR="00ED2F1A">
              <w:rPr>
                <w:noProof/>
                <w:webHidden/>
              </w:rPr>
              <w:t>3</w:t>
            </w:r>
            <w:r w:rsidR="00AD4132">
              <w:rPr>
                <w:noProof/>
                <w:webHidden/>
              </w:rPr>
              <w:fldChar w:fldCharType="end"/>
            </w:r>
          </w:hyperlink>
        </w:p>
        <w:p w14:paraId="15B66A6A" w14:textId="09D374DA" w:rsidR="00AD4132" w:rsidRDefault="00FA09C9">
          <w:pPr>
            <w:pStyle w:val="TOC2"/>
            <w:tabs>
              <w:tab w:val="right" w:leader="dot" w:pos="9016"/>
            </w:tabs>
            <w:rPr>
              <w:rFonts w:eastAsiaTheme="minorEastAsia"/>
              <w:noProof/>
              <w:lang w:val="el-GR" w:eastAsia="el-GR"/>
            </w:rPr>
          </w:pPr>
          <w:hyperlink w:anchor="_Toc111202954" w:history="1">
            <w:r w:rsidR="00AD4132" w:rsidRPr="00FC2251">
              <w:rPr>
                <w:rStyle w:val="Hyperlink"/>
                <w:rFonts w:cstheme="majorHAnsi"/>
                <w:b/>
                <w:bCs/>
                <w:i/>
                <w:iCs/>
                <w:noProof/>
                <w:lang w:val="el-GR"/>
              </w:rPr>
              <w:t>2.1. Αριθμός Μετοχών της Εταιρείας που κατέχουν ή ελέγχουν, άμεσα ή έμμεσα, τα μέλη του Διοικητικού Συμβουλίου και τα διευθυντικά στελέχη της Εταιρείας (άρθρο 15 παρ. 2 περ. α. του Ν. 3461/2006).</w:t>
            </w:r>
            <w:r w:rsidR="00AD4132">
              <w:rPr>
                <w:noProof/>
                <w:webHidden/>
              </w:rPr>
              <w:tab/>
            </w:r>
            <w:r w:rsidR="00AD4132">
              <w:rPr>
                <w:noProof/>
                <w:webHidden/>
              </w:rPr>
              <w:fldChar w:fldCharType="begin"/>
            </w:r>
            <w:r w:rsidR="00AD4132">
              <w:rPr>
                <w:noProof/>
                <w:webHidden/>
              </w:rPr>
              <w:instrText xml:space="preserve"> PAGEREF _Toc111202954 \h </w:instrText>
            </w:r>
            <w:r w:rsidR="00AD4132">
              <w:rPr>
                <w:noProof/>
                <w:webHidden/>
              </w:rPr>
            </w:r>
            <w:r w:rsidR="00AD4132">
              <w:rPr>
                <w:noProof/>
                <w:webHidden/>
              </w:rPr>
              <w:fldChar w:fldCharType="separate"/>
            </w:r>
            <w:r w:rsidR="00ED2F1A">
              <w:rPr>
                <w:noProof/>
                <w:webHidden/>
              </w:rPr>
              <w:t>3</w:t>
            </w:r>
            <w:r w:rsidR="00AD4132">
              <w:rPr>
                <w:noProof/>
                <w:webHidden/>
              </w:rPr>
              <w:fldChar w:fldCharType="end"/>
            </w:r>
          </w:hyperlink>
        </w:p>
        <w:p w14:paraId="121D1D75" w14:textId="145FC7C2" w:rsidR="00AD4132" w:rsidRDefault="00FA09C9">
          <w:pPr>
            <w:pStyle w:val="TOC2"/>
            <w:tabs>
              <w:tab w:val="right" w:leader="dot" w:pos="9016"/>
            </w:tabs>
            <w:rPr>
              <w:rFonts w:eastAsiaTheme="minorEastAsia"/>
              <w:noProof/>
              <w:lang w:val="el-GR" w:eastAsia="el-GR"/>
            </w:rPr>
          </w:pPr>
          <w:hyperlink w:anchor="_Toc111202955" w:history="1">
            <w:r w:rsidR="00AD4132" w:rsidRPr="00FC2251">
              <w:rPr>
                <w:rStyle w:val="Hyperlink"/>
                <w:rFonts w:cstheme="majorHAnsi"/>
                <w:b/>
                <w:bCs/>
                <w:i/>
                <w:iCs/>
                <w:noProof/>
                <w:lang w:val="el-GR"/>
              </w:rPr>
              <w:t>2.2. Ενέργειες στις οποίες έχει ήδη προβεί ή προτίθεται να προβεί το Διοικητικό Συμβούλιο της Εταιρείας σχετικά με τη Δημόσια Πρόταση (άρθρο 15 παρ. 2 περ. β. του Ν. 3461/2006).</w:t>
            </w:r>
            <w:r w:rsidR="00AD4132">
              <w:rPr>
                <w:noProof/>
                <w:webHidden/>
              </w:rPr>
              <w:tab/>
            </w:r>
            <w:r w:rsidR="00AD4132">
              <w:rPr>
                <w:noProof/>
                <w:webHidden/>
              </w:rPr>
              <w:fldChar w:fldCharType="begin"/>
            </w:r>
            <w:r w:rsidR="00AD4132">
              <w:rPr>
                <w:noProof/>
                <w:webHidden/>
              </w:rPr>
              <w:instrText xml:space="preserve"> PAGEREF _Toc111202955 \h </w:instrText>
            </w:r>
            <w:r w:rsidR="00AD4132">
              <w:rPr>
                <w:noProof/>
                <w:webHidden/>
              </w:rPr>
            </w:r>
            <w:r w:rsidR="00AD4132">
              <w:rPr>
                <w:noProof/>
                <w:webHidden/>
              </w:rPr>
              <w:fldChar w:fldCharType="separate"/>
            </w:r>
            <w:r w:rsidR="00ED2F1A">
              <w:rPr>
                <w:noProof/>
                <w:webHidden/>
              </w:rPr>
              <w:t>4</w:t>
            </w:r>
            <w:r w:rsidR="00AD4132">
              <w:rPr>
                <w:noProof/>
                <w:webHidden/>
              </w:rPr>
              <w:fldChar w:fldCharType="end"/>
            </w:r>
          </w:hyperlink>
        </w:p>
        <w:p w14:paraId="01FFC6C8" w14:textId="5A4FD719" w:rsidR="00AD4132" w:rsidRDefault="00FA09C9">
          <w:pPr>
            <w:pStyle w:val="TOC2"/>
            <w:tabs>
              <w:tab w:val="right" w:leader="dot" w:pos="9016"/>
            </w:tabs>
            <w:rPr>
              <w:rFonts w:eastAsiaTheme="minorEastAsia"/>
              <w:noProof/>
              <w:lang w:val="el-GR" w:eastAsia="el-GR"/>
            </w:rPr>
          </w:pPr>
          <w:hyperlink w:anchor="_Toc111202956" w:history="1">
            <w:r w:rsidR="00AD4132" w:rsidRPr="00FC2251">
              <w:rPr>
                <w:rStyle w:val="Hyperlink"/>
                <w:rFonts w:cstheme="majorHAnsi"/>
                <w:b/>
                <w:bCs/>
                <w:i/>
                <w:iCs/>
                <w:noProof/>
                <w:lang w:val="el-GR"/>
              </w:rPr>
              <w:t>2.3. Συμφωνίες μεταξύ του Διοικητικού Συμβουλίου της Εταιρείας ή/και των Μελών του με τον Προτείνοντα (άρθρο 15 παρ. 2 περ. γ. του Ν. 3461/2006).</w:t>
            </w:r>
            <w:r w:rsidR="00AD4132">
              <w:rPr>
                <w:noProof/>
                <w:webHidden/>
              </w:rPr>
              <w:tab/>
            </w:r>
            <w:r w:rsidR="00AD4132">
              <w:rPr>
                <w:noProof/>
                <w:webHidden/>
              </w:rPr>
              <w:fldChar w:fldCharType="begin"/>
            </w:r>
            <w:r w:rsidR="00AD4132">
              <w:rPr>
                <w:noProof/>
                <w:webHidden/>
              </w:rPr>
              <w:instrText xml:space="preserve"> PAGEREF _Toc111202956 \h </w:instrText>
            </w:r>
            <w:r w:rsidR="00AD4132">
              <w:rPr>
                <w:noProof/>
                <w:webHidden/>
              </w:rPr>
            </w:r>
            <w:r w:rsidR="00AD4132">
              <w:rPr>
                <w:noProof/>
                <w:webHidden/>
              </w:rPr>
              <w:fldChar w:fldCharType="separate"/>
            </w:r>
            <w:r w:rsidR="00ED2F1A">
              <w:rPr>
                <w:noProof/>
                <w:webHidden/>
              </w:rPr>
              <w:t>5</w:t>
            </w:r>
            <w:r w:rsidR="00AD4132">
              <w:rPr>
                <w:noProof/>
                <w:webHidden/>
              </w:rPr>
              <w:fldChar w:fldCharType="end"/>
            </w:r>
          </w:hyperlink>
        </w:p>
        <w:p w14:paraId="4C799FC0" w14:textId="29FB98DD" w:rsidR="00AD4132" w:rsidRDefault="00FA09C9">
          <w:pPr>
            <w:pStyle w:val="TOC2"/>
            <w:tabs>
              <w:tab w:val="right" w:leader="dot" w:pos="9016"/>
            </w:tabs>
            <w:rPr>
              <w:rFonts w:eastAsiaTheme="minorEastAsia"/>
              <w:noProof/>
              <w:lang w:val="el-GR" w:eastAsia="el-GR"/>
            </w:rPr>
          </w:pPr>
          <w:hyperlink w:anchor="_Toc111202957" w:history="1">
            <w:r w:rsidR="00AD4132" w:rsidRPr="00FC2251">
              <w:rPr>
                <w:rStyle w:val="Hyperlink"/>
                <w:rFonts w:cstheme="majorHAnsi"/>
                <w:b/>
                <w:bCs/>
                <w:i/>
                <w:iCs/>
                <w:noProof/>
                <w:lang w:val="el-GR"/>
              </w:rPr>
              <w:t>2.4. Αιτιολογημένη άποψη του Διοικητικού Συμβουλίου της Εταιρείας σχετικά με τη Δημόσια Πρόταση (άρθρο 15 παρ. 2 περ. δ. του Ν. 3461/2006).</w:t>
            </w:r>
            <w:r w:rsidR="00AD4132">
              <w:rPr>
                <w:noProof/>
                <w:webHidden/>
              </w:rPr>
              <w:tab/>
            </w:r>
            <w:r w:rsidR="00AD4132">
              <w:rPr>
                <w:noProof/>
                <w:webHidden/>
              </w:rPr>
              <w:fldChar w:fldCharType="begin"/>
            </w:r>
            <w:r w:rsidR="00AD4132">
              <w:rPr>
                <w:noProof/>
                <w:webHidden/>
              </w:rPr>
              <w:instrText xml:space="preserve"> PAGEREF _Toc111202957 \h </w:instrText>
            </w:r>
            <w:r w:rsidR="00AD4132">
              <w:rPr>
                <w:noProof/>
                <w:webHidden/>
              </w:rPr>
            </w:r>
            <w:r w:rsidR="00AD4132">
              <w:rPr>
                <w:noProof/>
                <w:webHidden/>
              </w:rPr>
              <w:fldChar w:fldCharType="separate"/>
            </w:r>
            <w:r w:rsidR="00ED2F1A">
              <w:rPr>
                <w:noProof/>
                <w:webHidden/>
              </w:rPr>
              <w:t>5</w:t>
            </w:r>
            <w:r w:rsidR="00AD4132">
              <w:rPr>
                <w:noProof/>
                <w:webHidden/>
              </w:rPr>
              <w:fldChar w:fldCharType="end"/>
            </w:r>
          </w:hyperlink>
        </w:p>
        <w:p w14:paraId="70F27253" w14:textId="6B822B5B" w:rsidR="00AD4132" w:rsidRDefault="00FA09C9">
          <w:pPr>
            <w:pStyle w:val="TOC1"/>
            <w:tabs>
              <w:tab w:val="right" w:leader="dot" w:pos="9016"/>
            </w:tabs>
            <w:rPr>
              <w:rFonts w:eastAsiaTheme="minorEastAsia"/>
              <w:noProof/>
              <w:lang w:val="el-GR" w:eastAsia="el-GR"/>
            </w:rPr>
          </w:pPr>
          <w:hyperlink w:anchor="_Toc111202958" w:history="1">
            <w:r w:rsidR="00AD4132" w:rsidRPr="00FC2251">
              <w:rPr>
                <w:rStyle w:val="Hyperlink"/>
                <w:rFonts w:asciiTheme="majorHAnsi" w:hAnsiTheme="majorHAnsi" w:cstheme="majorHAnsi"/>
                <w:b/>
                <w:bCs/>
                <w:noProof/>
                <w:lang w:val="el-GR"/>
              </w:rPr>
              <w:t>3. Συμπεράσματα.</w:t>
            </w:r>
            <w:r w:rsidR="00AD4132">
              <w:rPr>
                <w:noProof/>
                <w:webHidden/>
              </w:rPr>
              <w:tab/>
            </w:r>
            <w:r w:rsidR="00AD4132">
              <w:rPr>
                <w:noProof/>
                <w:webHidden/>
              </w:rPr>
              <w:fldChar w:fldCharType="begin"/>
            </w:r>
            <w:r w:rsidR="00AD4132">
              <w:rPr>
                <w:noProof/>
                <w:webHidden/>
              </w:rPr>
              <w:instrText xml:space="preserve"> PAGEREF _Toc111202958 \h </w:instrText>
            </w:r>
            <w:r w:rsidR="00AD4132">
              <w:rPr>
                <w:noProof/>
                <w:webHidden/>
              </w:rPr>
            </w:r>
            <w:r w:rsidR="00AD4132">
              <w:rPr>
                <w:noProof/>
                <w:webHidden/>
              </w:rPr>
              <w:fldChar w:fldCharType="separate"/>
            </w:r>
            <w:r w:rsidR="00ED2F1A">
              <w:rPr>
                <w:noProof/>
                <w:webHidden/>
              </w:rPr>
              <w:t>10</w:t>
            </w:r>
            <w:r w:rsidR="00AD4132">
              <w:rPr>
                <w:noProof/>
                <w:webHidden/>
              </w:rPr>
              <w:fldChar w:fldCharType="end"/>
            </w:r>
          </w:hyperlink>
        </w:p>
        <w:p w14:paraId="7702AEAA" w14:textId="77777777" w:rsidR="00E50563" w:rsidRPr="00CF445B" w:rsidRDefault="00E50563" w:rsidP="00E50563">
          <w:pPr>
            <w:rPr>
              <w:rFonts w:asciiTheme="majorHAnsi" w:hAnsiTheme="majorHAnsi" w:cstheme="majorHAnsi"/>
              <w:sz w:val="24"/>
              <w:szCs w:val="24"/>
            </w:rPr>
          </w:pPr>
          <w:r w:rsidRPr="00CF445B">
            <w:rPr>
              <w:rFonts w:asciiTheme="majorHAnsi" w:hAnsiTheme="majorHAnsi" w:cstheme="majorHAnsi"/>
              <w:b/>
              <w:bCs/>
              <w:noProof/>
              <w:sz w:val="24"/>
              <w:szCs w:val="24"/>
            </w:rPr>
            <w:fldChar w:fldCharType="end"/>
          </w:r>
        </w:p>
      </w:sdtContent>
    </w:sdt>
    <w:p w14:paraId="3CF3B5BB" w14:textId="77777777" w:rsidR="00E50563" w:rsidRPr="006E5857" w:rsidRDefault="00E50563" w:rsidP="00E50563">
      <w:pPr>
        <w:pStyle w:val="Heading1"/>
        <w:rPr>
          <w:rFonts w:asciiTheme="majorHAnsi" w:hAnsiTheme="majorHAnsi" w:cstheme="majorHAnsi"/>
          <w:b/>
          <w:bCs/>
          <w:szCs w:val="24"/>
          <w:lang w:val="el-GR"/>
        </w:rPr>
      </w:pPr>
      <w:bookmarkStart w:id="0" w:name="_Toc111202952"/>
      <w:r w:rsidRPr="006E5857">
        <w:rPr>
          <w:rFonts w:asciiTheme="majorHAnsi" w:hAnsiTheme="majorHAnsi" w:cstheme="majorHAnsi"/>
          <w:b/>
          <w:bCs/>
          <w:szCs w:val="24"/>
          <w:lang w:val="el-GR"/>
        </w:rPr>
        <w:t>1. Εισαγωγή</w:t>
      </w:r>
      <w:bookmarkEnd w:id="0"/>
    </w:p>
    <w:p w14:paraId="6C8F9814" w14:textId="437C1B98" w:rsidR="00E50563" w:rsidRPr="00CF445B" w:rsidRDefault="00E50563" w:rsidP="00E50563">
      <w:pPr>
        <w:spacing w:after="100" w:afterAutospacing="1" w:line="240" w:lineRule="auto"/>
        <w:ind w:firstLine="360"/>
        <w:jc w:val="both"/>
        <w:rPr>
          <w:rFonts w:asciiTheme="majorHAnsi" w:hAnsiTheme="majorHAnsi" w:cstheme="majorHAnsi"/>
          <w:sz w:val="24"/>
          <w:szCs w:val="24"/>
          <w:lang w:val="el-GR"/>
        </w:rPr>
      </w:pPr>
      <w:r w:rsidRPr="00CF445B">
        <w:rPr>
          <w:rFonts w:asciiTheme="majorHAnsi" w:hAnsiTheme="majorHAnsi" w:cstheme="majorHAnsi"/>
          <w:sz w:val="24"/>
          <w:szCs w:val="24"/>
          <w:lang w:val="el-GR"/>
        </w:rPr>
        <w:t xml:space="preserve">Το Διοικητικό Συμβούλιο της ανώνυμης εταιρείας με την επωνυμία </w:t>
      </w:r>
      <w:r w:rsidRPr="00CF445B">
        <w:rPr>
          <w:rFonts w:asciiTheme="majorHAnsi" w:hAnsiTheme="majorHAnsi" w:cstheme="majorHAnsi"/>
          <w:b/>
          <w:sz w:val="24"/>
          <w:szCs w:val="24"/>
          <w:lang w:val="el-GR"/>
        </w:rPr>
        <w:t xml:space="preserve">«ΒΥΤΕ CΟΜΡUΤΕR ΑΝΩΝΥΜΗ ΒΙΟΜΗΧΑΝΙΚΗ ΚΑΙ ΕΜΠΟΡΙΚΗ ΕΤΑΙΡΕΙΑ» </w:t>
      </w:r>
      <w:r w:rsidRPr="00CF445B">
        <w:rPr>
          <w:rFonts w:asciiTheme="majorHAnsi" w:hAnsiTheme="majorHAnsi" w:cstheme="majorHAnsi"/>
          <w:sz w:val="24"/>
          <w:szCs w:val="24"/>
          <w:lang w:val="el-GR"/>
        </w:rPr>
        <w:t>(εφεξής η «</w:t>
      </w:r>
      <w:r w:rsidRPr="00CF445B">
        <w:rPr>
          <w:rFonts w:asciiTheme="majorHAnsi" w:hAnsiTheme="majorHAnsi" w:cstheme="majorHAnsi"/>
          <w:b/>
          <w:sz w:val="24"/>
          <w:szCs w:val="24"/>
          <w:lang w:val="el-GR"/>
        </w:rPr>
        <w:t>Εταιρεία</w:t>
      </w:r>
      <w:r w:rsidRPr="00CF445B">
        <w:rPr>
          <w:rFonts w:asciiTheme="majorHAnsi" w:hAnsiTheme="majorHAnsi" w:cstheme="majorHAnsi"/>
          <w:sz w:val="24"/>
          <w:szCs w:val="24"/>
          <w:lang w:val="el-GR"/>
        </w:rPr>
        <w:t xml:space="preserve">»), συνεδρίασε την </w:t>
      </w:r>
      <w:bookmarkStart w:id="1" w:name="_Hlk78373941"/>
      <w:r w:rsidRPr="00CF445B">
        <w:rPr>
          <w:rFonts w:asciiTheme="majorHAnsi" w:hAnsiTheme="majorHAnsi" w:cstheme="majorHAnsi"/>
          <w:sz w:val="24"/>
          <w:szCs w:val="24"/>
          <w:lang w:val="el-GR"/>
        </w:rPr>
        <w:t>17.08.202</w:t>
      </w:r>
      <w:bookmarkEnd w:id="1"/>
      <w:r w:rsidRPr="00CF445B">
        <w:rPr>
          <w:rFonts w:asciiTheme="majorHAnsi" w:hAnsiTheme="majorHAnsi" w:cstheme="majorHAnsi"/>
          <w:sz w:val="24"/>
          <w:szCs w:val="24"/>
          <w:lang w:val="el-GR"/>
        </w:rPr>
        <w:t>2, προκειμένου να διατυπώσει, σύμφωνα με το άρθρο 15 Ν. 3461/2006, την αιτιολογημένη γνώμη του επί της προαιρετικής δημόσιας πρότασης (εφεξής η «</w:t>
      </w:r>
      <w:r w:rsidRPr="00CF445B">
        <w:rPr>
          <w:rFonts w:asciiTheme="majorHAnsi" w:hAnsiTheme="majorHAnsi" w:cstheme="majorHAnsi"/>
          <w:b/>
          <w:sz w:val="24"/>
          <w:szCs w:val="24"/>
          <w:lang w:val="el-GR"/>
        </w:rPr>
        <w:t>Δημόσια Πρόταση</w:t>
      </w:r>
      <w:r w:rsidRPr="00CF445B">
        <w:rPr>
          <w:rFonts w:asciiTheme="majorHAnsi" w:hAnsiTheme="majorHAnsi" w:cstheme="majorHAnsi"/>
          <w:sz w:val="24"/>
          <w:szCs w:val="24"/>
          <w:lang w:val="el-GR"/>
        </w:rPr>
        <w:t>»), που υπέβαλε, σύμφωνα με το Ν.3461/2006 (εφεξής ο «</w:t>
      </w:r>
      <w:r w:rsidRPr="00CF445B">
        <w:rPr>
          <w:rFonts w:asciiTheme="majorHAnsi" w:hAnsiTheme="majorHAnsi" w:cstheme="majorHAnsi"/>
          <w:b/>
          <w:sz w:val="24"/>
          <w:szCs w:val="24"/>
          <w:lang w:val="el-GR"/>
        </w:rPr>
        <w:t>Νόμος</w:t>
      </w:r>
      <w:r w:rsidRPr="00CF445B">
        <w:rPr>
          <w:rFonts w:asciiTheme="majorHAnsi" w:hAnsiTheme="majorHAnsi" w:cstheme="majorHAnsi"/>
          <w:sz w:val="24"/>
          <w:szCs w:val="24"/>
          <w:lang w:val="el-GR"/>
        </w:rPr>
        <w:t>»), η «IDEAL Holdings A.E.» (εφεξής ο «</w:t>
      </w:r>
      <w:r w:rsidRPr="00CF445B">
        <w:rPr>
          <w:rFonts w:asciiTheme="majorHAnsi" w:hAnsiTheme="majorHAnsi" w:cstheme="majorHAnsi"/>
          <w:b/>
          <w:sz w:val="24"/>
          <w:szCs w:val="24"/>
          <w:lang w:val="el-GR"/>
        </w:rPr>
        <w:t>Προτείνων</w:t>
      </w:r>
      <w:r w:rsidRPr="00CF445B">
        <w:rPr>
          <w:rFonts w:asciiTheme="majorHAnsi" w:hAnsiTheme="majorHAnsi" w:cstheme="majorHAnsi"/>
          <w:sz w:val="24"/>
          <w:szCs w:val="24"/>
          <w:lang w:val="el-GR"/>
        </w:rPr>
        <w:t>»), για την απόκτηση του συνόλου των 15.816.009 ολοσχερώς καταβεβλημένων κοινών ονομαστικών, μετά δικαιώματος ψήφου, άυλων μετοχών εκδόσεως της Εταιρείας, ονομαστικής αξίας €0,30 έκαστη, οι οποίες έχουν εισαχθεί και αποτελούν αντικείμενο διαπραγμάτευσης στο Χρηματιστήριο Αθηνών (εφεξής οι «</w:t>
      </w:r>
      <w:r w:rsidRPr="00CF445B">
        <w:rPr>
          <w:rFonts w:asciiTheme="majorHAnsi" w:hAnsiTheme="majorHAnsi" w:cstheme="majorHAnsi"/>
          <w:b/>
          <w:sz w:val="24"/>
          <w:szCs w:val="24"/>
          <w:lang w:val="el-GR"/>
        </w:rPr>
        <w:t>Μετοχές</w:t>
      </w:r>
      <w:r w:rsidRPr="00CF445B">
        <w:rPr>
          <w:rFonts w:asciiTheme="majorHAnsi" w:hAnsiTheme="majorHAnsi" w:cstheme="majorHAnsi"/>
          <w:sz w:val="24"/>
          <w:szCs w:val="24"/>
          <w:lang w:val="el-GR"/>
        </w:rPr>
        <w:t>»), που αποτελούν και το αντικείμενο της Δημόσιας Πρότασης (εφεξής οι «</w:t>
      </w:r>
      <w:r w:rsidRPr="00CF445B">
        <w:rPr>
          <w:rFonts w:asciiTheme="majorHAnsi" w:hAnsiTheme="majorHAnsi" w:cstheme="majorHAnsi"/>
          <w:b/>
          <w:sz w:val="24"/>
          <w:szCs w:val="24"/>
          <w:lang w:val="el-GR"/>
        </w:rPr>
        <w:t>Μετοχές της Δημόσιας Πρότασης</w:t>
      </w:r>
      <w:r w:rsidR="00644BA4">
        <w:rPr>
          <w:rFonts w:asciiTheme="majorHAnsi" w:hAnsiTheme="majorHAnsi" w:cstheme="majorHAnsi"/>
          <w:sz w:val="24"/>
          <w:szCs w:val="24"/>
          <w:lang w:val="el-GR"/>
        </w:rPr>
        <w:t>»), και η οποία Δ</w:t>
      </w:r>
      <w:r w:rsidRPr="00CF445B">
        <w:rPr>
          <w:rFonts w:asciiTheme="majorHAnsi" w:hAnsiTheme="majorHAnsi" w:cstheme="majorHAnsi"/>
          <w:sz w:val="24"/>
          <w:szCs w:val="24"/>
          <w:lang w:val="el-GR"/>
        </w:rPr>
        <w:t xml:space="preserve">ημόσια </w:t>
      </w:r>
      <w:r w:rsidR="00644BA4">
        <w:rPr>
          <w:rFonts w:asciiTheme="majorHAnsi" w:hAnsiTheme="majorHAnsi" w:cstheme="majorHAnsi"/>
          <w:sz w:val="24"/>
          <w:szCs w:val="24"/>
          <w:lang w:val="el-GR"/>
        </w:rPr>
        <w:t>Π</w:t>
      </w:r>
      <w:r w:rsidRPr="00CF445B">
        <w:rPr>
          <w:rFonts w:asciiTheme="majorHAnsi" w:hAnsiTheme="majorHAnsi" w:cstheme="majorHAnsi"/>
          <w:sz w:val="24"/>
          <w:szCs w:val="24"/>
          <w:lang w:val="el-GR"/>
        </w:rPr>
        <w:t>ρόταση θα ισχύει υπό την προϋπόθεση απόκτησης τουλάχιστον 11.071.206 Μετοχών, που αντιπροσωπεύουν ποσοστό 70% του συνολικού καταβεβλημένου μετοχικού κεφαλαίου και των δικαιωμάτων ψήφου της Εταιρείας (εφεξής ο «</w:t>
      </w:r>
      <w:r w:rsidRPr="00CF445B">
        <w:rPr>
          <w:rFonts w:asciiTheme="majorHAnsi" w:hAnsiTheme="majorHAnsi" w:cstheme="majorHAnsi"/>
          <w:b/>
          <w:sz w:val="24"/>
          <w:szCs w:val="24"/>
          <w:lang w:val="el-GR"/>
        </w:rPr>
        <w:t>Ελάχιστος Αριθμός Μετοχών</w:t>
      </w:r>
      <w:r w:rsidRPr="00CF445B">
        <w:rPr>
          <w:rFonts w:asciiTheme="majorHAnsi" w:hAnsiTheme="majorHAnsi" w:cstheme="majorHAnsi"/>
          <w:sz w:val="24"/>
          <w:szCs w:val="24"/>
          <w:lang w:val="el-GR"/>
        </w:rPr>
        <w:t>»), αφού εξέτασε:</w:t>
      </w:r>
    </w:p>
    <w:p w14:paraId="5BCA2C9A" w14:textId="77777777" w:rsidR="00E50563" w:rsidRPr="00CF445B" w:rsidRDefault="00E50563" w:rsidP="00E50563">
      <w:pPr>
        <w:pStyle w:val="ListParagraph"/>
        <w:numPr>
          <w:ilvl w:val="0"/>
          <w:numId w:val="1"/>
        </w:numPr>
        <w:spacing w:before="100" w:beforeAutospacing="1" w:after="100" w:afterAutospacing="1" w:line="240" w:lineRule="auto"/>
        <w:jc w:val="both"/>
        <w:rPr>
          <w:rFonts w:asciiTheme="majorHAnsi" w:hAnsiTheme="majorHAnsi" w:cstheme="majorHAnsi"/>
          <w:sz w:val="24"/>
          <w:szCs w:val="24"/>
          <w:lang w:val="el-GR"/>
        </w:rPr>
      </w:pPr>
      <w:r w:rsidRPr="00CF445B">
        <w:rPr>
          <w:rFonts w:asciiTheme="majorHAnsi" w:hAnsiTheme="majorHAnsi" w:cstheme="majorHAnsi"/>
          <w:sz w:val="24"/>
          <w:szCs w:val="24"/>
          <w:lang w:val="el-GR"/>
        </w:rPr>
        <w:lastRenderedPageBreak/>
        <w:t>το περιεχόμενο της από 01.07.2022 Ανακοίνωσης του Προτείνοντος, συνοδευόμενης από σχέδιο Πληροφοριακού Δελτίου, σχετικά με την υποβολή της Δημόσιας Πρότασης (η «</w:t>
      </w:r>
      <w:r w:rsidRPr="00CF445B">
        <w:rPr>
          <w:rFonts w:asciiTheme="majorHAnsi" w:hAnsiTheme="majorHAnsi" w:cstheme="majorHAnsi"/>
          <w:b/>
          <w:sz w:val="24"/>
          <w:szCs w:val="24"/>
          <w:lang w:val="el-GR"/>
        </w:rPr>
        <w:t>Ανακοίνωση του Προτείνοντος</w:t>
      </w:r>
      <w:r w:rsidRPr="00CF445B">
        <w:rPr>
          <w:rFonts w:asciiTheme="majorHAnsi" w:hAnsiTheme="majorHAnsi" w:cstheme="majorHAnsi"/>
          <w:sz w:val="24"/>
          <w:szCs w:val="24"/>
          <w:lang w:val="el-GR"/>
        </w:rPr>
        <w:t xml:space="preserve">»), </w:t>
      </w:r>
    </w:p>
    <w:p w14:paraId="761DFB2A" w14:textId="77777777" w:rsidR="00E50563" w:rsidRPr="00CF445B" w:rsidRDefault="00E50563" w:rsidP="00E50563">
      <w:pPr>
        <w:pStyle w:val="ListParagraph"/>
        <w:spacing w:before="100" w:beforeAutospacing="1" w:after="100" w:afterAutospacing="1" w:line="240" w:lineRule="auto"/>
        <w:ind w:left="360"/>
        <w:jc w:val="both"/>
        <w:rPr>
          <w:rFonts w:asciiTheme="majorHAnsi" w:hAnsiTheme="majorHAnsi" w:cstheme="majorHAnsi"/>
          <w:sz w:val="24"/>
          <w:szCs w:val="24"/>
          <w:lang w:val="el-GR"/>
        </w:rPr>
      </w:pPr>
    </w:p>
    <w:p w14:paraId="773977AF" w14:textId="77777777" w:rsidR="00E50563" w:rsidRPr="00CF445B" w:rsidRDefault="00E50563" w:rsidP="00E50563">
      <w:pPr>
        <w:pStyle w:val="ListParagraph"/>
        <w:numPr>
          <w:ilvl w:val="0"/>
          <w:numId w:val="1"/>
        </w:numPr>
        <w:spacing w:before="100" w:beforeAutospacing="1" w:after="100" w:afterAutospacing="1" w:line="240" w:lineRule="auto"/>
        <w:jc w:val="both"/>
        <w:rPr>
          <w:rFonts w:asciiTheme="majorHAnsi" w:hAnsiTheme="majorHAnsi" w:cstheme="majorHAnsi"/>
          <w:sz w:val="24"/>
          <w:szCs w:val="24"/>
          <w:lang w:val="el-GR"/>
        </w:rPr>
      </w:pPr>
      <w:r w:rsidRPr="00CF445B">
        <w:rPr>
          <w:rFonts w:asciiTheme="majorHAnsi" w:hAnsiTheme="majorHAnsi" w:cstheme="majorHAnsi"/>
          <w:sz w:val="24"/>
          <w:szCs w:val="24"/>
          <w:lang w:val="el-GR"/>
        </w:rPr>
        <w:t>το ειδικότερο περιεχόμενο του εγκριθέντος με την από 04.08.2022 απόφαση του Διοικητικού Συμβουλίου της Επιτροπής Κεφαλαιαγοράς Πληροφοριακού Δελτίου της Δημόσιας Πρότασης (εφεξής το «</w:t>
      </w:r>
      <w:r w:rsidRPr="00CF445B">
        <w:rPr>
          <w:rFonts w:asciiTheme="majorHAnsi" w:hAnsiTheme="majorHAnsi" w:cstheme="majorHAnsi"/>
          <w:b/>
          <w:sz w:val="24"/>
          <w:szCs w:val="24"/>
          <w:lang w:val="el-GR"/>
        </w:rPr>
        <w:t>Πληροφοριακό Δελτίο</w:t>
      </w:r>
      <w:r w:rsidRPr="00CF445B">
        <w:rPr>
          <w:rFonts w:asciiTheme="majorHAnsi" w:hAnsiTheme="majorHAnsi" w:cstheme="majorHAnsi"/>
          <w:sz w:val="24"/>
          <w:szCs w:val="24"/>
          <w:lang w:val="el-GR"/>
        </w:rPr>
        <w:t xml:space="preserve">»), που απευθύνεται στους μετόχους της Εταιρείας, κατά τα προβλεπόμενα στο Ν.3461/2006, και </w:t>
      </w:r>
    </w:p>
    <w:p w14:paraId="72B17779" w14:textId="77777777" w:rsidR="00E50563" w:rsidRPr="00CF445B" w:rsidRDefault="00E50563" w:rsidP="00E50563">
      <w:pPr>
        <w:pStyle w:val="ListParagraph"/>
        <w:spacing w:before="100" w:beforeAutospacing="1" w:after="100" w:afterAutospacing="1" w:line="240" w:lineRule="auto"/>
        <w:ind w:left="360"/>
        <w:jc w:val="both"/>
        <w:rPr>
          <w:rFonts w:asciiTheme="majorHAnsi" w:hAnsiTheme="majorHAnsi" w:cstheme="majorHAnsi"/>
          <w:sz w:val="24"/>
          <w:szCs w:val="24"/>
          <w:lang w:val="el-GR"/>
        </w:rPr>
      </w:pPr>
    </w:p>
    <w:p w14:paraId="1D414363" w14:textId="77777777" w:rsidR="00E50563" w:rsidRPr="00CF445B" w:rsidRDefault="00E50563" w:rsidP="00E50563">
      <w:pPr>
        <w:pStyle w:val="ListParagraph"/>
        <w:numPr>
          <w:ilvl w:val="0"/>
          <w:numId w:val="1"/>
        </w:numPr>
        <w:spacing w:before="100" w:beforeAutospacing="1" w:after="100" w:afterAutospacing="1" w:line="240" w:lineRule="auto"/>
        <w:jc w:val="both"/>
        <w:rPr>
          <w:rFonts w:asciiTheme="majorHAnsi" w:hAnsiTheme="majorHAnsi" w:cstheme="majorHAnsi"/>
          <w:sz w:val="24"/>
          <w:szCs w:val="24"/>
          <w:lang w:val="el-GR"/>
        </w:rPr>
      </w:pPr>
      <w:r w:rsidRPr="00CF445B">
        <w:rPr>
          <w:rFonts w:asciiTheme="majorHAnsi" w:hAnsiTheme="majorHAnsi" w:cstheme="majorHAnsi"/>
          <w:sz w:val="24"/>
          <w:szCs w:val="24"/>
          <w:lang w:val="el-GR"/>
        </w:rPr>
        <w:t xml:space="preserve">την απαιτούμενη, δυνάμει του άρθρου 15 παράγραφος 2 του Ν.3461/2006, έκθεση την οποία συνέταξε, με ημερομηνία </w:t>
      </w:r>
      <w:bookmarkStart w:id="2" w:name="_Hlk78374296"/>
      <w:r w:rsidRPr="00CF445B">
        <w:rPr>
          <w:rFonts w:asciiTheme="majorHAnsi" w:hAnsiTheme="majorHAnsi" w:cstheme="majorHAnsi"/>
          <w:sz w:val="24"/>
          <w:szCs w:val="24"/>
          <w:lang w:val="el-GR"/>
        </w:rPr>
        <w:t>10.08.202</w:t>
      </w:r>
      <w:bookmarkEnd w:id="2"/>
      <w:r w:rsidRPr="00CF445B">
        <w:rPr>
          <w:rFonts w:asciiTheme="majorHAnsi" w:hAnsiTheme="majorHAnsi" w:cstheme="majorHAnsi"/>
          <w:sz w:val="24"/>
          <w:szCs w:val="24"/>
          <w:lang w:val="el-GR"/>
        </w:rPr>
        <w:t>2, ο χρηματοοικονομικός σύμβουλος της Εταιρείας, ήτοι η Τράπεζα «</w:t>
      </w:r>
      <w:r w:rsidRPr="00CF445B">
        <w:rPr>
          <w:rFonts w:asciiTheme="majorHAnsi" w:hAnsiTheme="majorHAnsi" w:cstheme="majorHAnsi"/>
          <w:sz w:val="24"/>
          <w:szCs w:val="24"/>
          <w:lang w:val="en-US"/>
        </w:rPr>
        <w:t>Optima</w:t>
      </w:r>
      <w:r w:rsidRPr="00CF445B">
        <w:rPr>
          <w:rFonts w:asciiTheme="majorHAnsi" w:hAnsiTheme="majorHAnsi" w:cstheme="majorHAnsi"/>
          <w:sz w:val="24"/>
          <w:szCs w:val="24"/>
          <w:lang w:val="el-GR"/>
        </w:rPr>
        <w:t xml:space="preserve"> </w:t>
      </w:r>
      <w:r w:rsidRPr="00CF445B">
        <w:rPr>
          <w:rFonts w:asciiTheme="majorHAnsi" w:hAnsiTheme="majorHAnsi" w:cstheme="majorHAnsi"/>
          <w:sz w:val="24"/>
          <w:szCs w:val="24"/>
          <w:lang w:val="en-US"/>
        </w:rPr>
        <w:t>Bank</w:t>
      </w:r>
      <w:r w:rsidRPr="00CF445B">
        <w:rPr>
          <w:rFonts w:asciiTheme="majorHAnsi" w:hAnsiTheme="majorHAnsi" w:cstheme="majorHAnsi"/>
          <w:sz w:val="24"/>
          <w:szCs w:val="24"/>
          <w:lang w:val="el-GR"/>
        </w:rPr>
        <w:t xml:space="preserve"> </w:t>
      </w:r>
      <w:r w:rsidRPr="00CF445B">
        <w:rPr>
          <w:rFonts w:asciiTheme="majorHAnsi" w:hAnsiTheme="majorHAnsi" w:cstheme="majorHAnsi"/>
          <w:sz w:val="24"/>
          <w:szCs w:val="24"/>
          <w:lang w:val="en-US"/>
        </w:rPr>
        <w:t>A</w:t>
      </w:r>
      <w:r w:rsidRPr="00CF445B">
        <w:rPr>
          <w:rFonts w:asciiTheme="majorHAnsi" w:hAnsiTheme="majorHAnsi" w:cstheme="majorHAnsi"/>
          <w:sz w:val="24"/>
          <w:szCs w:val="24"/>
          <w:lang w:val="el-GR"/>
        </w:rPr>
        <w:t>.</w:t>
      </w:r>
      <w:r w:rsidRPr="00CF445B">
        <w:rPr>
          <w:rFonts w:asciiTheme="majorHAnsi" w:hAnsiTheme="majorHAnsi" w:cstheme="majorHAnsi"/>
          <w:sz w:val="24"/>
          <w:szCs w:val="24"/>
          <w:lang w:val="en-US"/>
        </w:rPr>
        <w:t>E</w:t>
      </w:r>
      <w:r w:rsidRPr="00CF445B">
        <w:rPr>
          <w:rFonts w:asciiTheme="majorHAnsi" w:hAnsiTheme="majorHAnsi" w:cstheme="majorHAnsi"/>
          <w:sz w:val="24"/>
          <w:szCs w:val="24"/>
          <w:lang w:val="el-GR"/>
        </w:rPr>
        <w:t>.» (εφεξής η «</w:t>
      </w:r>
      <w:r w:rsidRPr="00CF445B">
        <w:rPr>
          <w:rFonts w:asciiTheme="majorHAnsi" w:hAnsiTheme="majorHAnsi" w:cstheme="majorHAnsi"/>
          <w:b/>
          <w:sz w:val="24"/>
          <w:szCs w:val="24"/>
          <w:lang w:val="el-GR"/>
        </w:rPr>
        <w:t>Έκθεση του Χρηματοοικονομικού Συμβούλου</w:t>
      </w:r>
      <w:r w:rsidRPr="00CF445B">
        <w:rPr>
          <w:rFonts w:asciiTheme="majorHAnsi" w:hAnsiTheme="majorHAnsi" w:cstheme="majorHAnsi"/>
          <w:sz w:val="24"/>
          <w:szCs w:val="24"/>
          <w:lang w:val="el-GR"/>
        </w:rPr>
        <w:t>» και ο «</w:t>
      </w:r>
      <w:r w:rsidRPr="00CF445B">
        <w:rPr>
          <w:rFonts w:asciiTheme="majorHAnsi" w:hAnsiTheme="majorHAnsi" w:cstheme="majorHAnsi"/>
          <w:b/>
          <w:sz w:val="24"/>
          <w:szCs w:val="24"/>
          <w:lang w:val="el-GR"/>
        </w:rPr>
        <w:t>Χρηματοοικονομικός Σύμβουλος</w:t>
      </w:r>
      <w:r w:rsidRPr="00CF445B">
        <w:rPr>
          <w:rFonts w:asciiTheme="majorHAnsi" w:hAnsiTheme="majorHAnsi" w:cstheme="majorHAnsi"/>
          <w:sz w:val="24"/>
          <w:szCs w:val="24"/>
          <w:lang w:val="el-GR"/>
        </w:rPr>
        <w:t>» αντίστοιχα), για τους σκοπούς σύνταξης της παρούσας αιτιολογημένης γνώμης επί της Δημόσιας Πρότασης.</w:t>
      </w:r>
    </w:p>
    <w:p w14:paraId="6BC2EC21" w14:textId="77777777" w:rsidR="00E50563" w:rsidRPr="00CF445B" w:rsidRDefault="00E50563" w:rsidP="00E50563">
      <w:pPr>
        <w:spacing w:before="100" w:beforeAutospacing="1" w:after="100" w:afterAutospacing="1" w:line="240" w:lineRule="auto"/>
        <w:ind w:firstLine="284"/>
        <w:jc w:val="both"/>
        <w:rPr>
          <w:rFonts w:asciiTheme="majorHAnsi" w:hAnsiTheme="majorHAnsi" w:cstheme="majorHAnsi"/>
          <w:sz w:val="24"/>
          <w:szCs w:val="24"/>
          <w:lang w:val="el-GR"/>
        </w:rPr>
      </w:pPr>
      <w:r w:rsidRPr="00CF445B">
        <w:rPr>
          <w:rFonts w:asciiTheme="majorHAnsi" w:hAnsiTheme="majorHAnsi" w:cstheme="majorHAnsi"/>
          <w:sz w:val="24"/>
          <w:szCs w:val="24"/>
          <w:lang w:val="el-GR"/>
        </w:rPr>
        <w:t xml:space="preserve">Σημειώνεται ότι τα πρόσωπα που ενεργούν συντονισμένα με τον Προτείνοντα, στο πλαίσιο της Δημόσιας Πρότασης, βάσει του άρθρου 2 (ε) του Νόμου, είναι όλα τα νομικά πρόσωπα που ελέγχονται από τον Προτείνοντα κατά τα διαλαμβανόμενα στο άρθρο 3 παρ. 1 (γ) του Ν. 3556/2007, ήτοι οι εταιρείες </w:t>
      </w:r>
      <w:r w:rsidRPr="00CF445B">
        <w:rPr>
          <w:rFonts w:asciiTheme="majorHAnsi" w:hAnsiTheme="majorHAnsi" w:cstheme="majorHAnsi"/>
          <w:sz w:val="24"/>
          <w:szCs w:val="24"/>
          <w:lang w:val="en-US"/>
        </w:rPr>
        <w:t>S</w:t>
      </w:r>
      <w:r w:rsidRPr="00CF445B">
        <w:rPr>
          <w:rFonts w:asciiTheme="majorHAnsi" w:hAnsiTheme="majorHAnsi" w:cstheme="majorHAnsi"/>
          <w:sz w:val="24"/>
          <w:szCs w:val="24"/>
          <w:lang w:val="el-GR"/>
        </w:rPr>
        <w:t xml:space="preserve">.I.C.C. HOLDING LTD, ΙΝΤΕΑΛ ΗΛΕΚΤΡΟΝΙΚΗ ΑΒΕΕ, ΑΝΤΑΚΟΜ ΠΡΟΗΓΜΕΝΕΣ ΕΦΑΡΜΟΓΕΣ ΔΙΑΔΙΚΤΥΟΥ Α.Ε., ΑΣΤΗΡ ΑΦΟΙ ΒΥΤΟΓΙΑΝΝΗ ΜΟΝΟΠΡΟΣΩΠΗ Α.Ε., THREE CENTS HELLAS ΜΟΝΟΠΡΟΣΩΠΗ Α.Ε., ESM EFFERVESCENT MANAGEMENT SODAS LTD, ADACOM LIMITED, i-DOCS ENTERPRISE SOFTWARE LTD, THREE CENTS LTD, ADACOM SYSTEMS LTD, IDEAL ELECTRONICS BG LTD, ADACOM CYBER SECURITY CY LTD και NETBULL LTD και </w:t>
      </w:r>
      <w:r w:rsidRPr="00CF445B">
        <w:rPr>
          <w:rFonts w:asciiTheme="majorHAnsi" w:hAnsiTheme="majorHAnsi" w:cstheme="majorHAnsi"/>
          <w:sz w:val="24"/>
          <w:szCs w:val="24"/>
          <w:lang w:val="en-US"/>
        </w:rPr>
        <w:t>COLEUS</w:t>
      </w:r>
      <w:r w:rsidRPr="00CF445B">
        <w:rPr>
          <w:rFonts w:asciiTheme="majorHAnsi" w:hAnsiTheme="majorHAnsi" w:cstheme="majorHAnsi"/>
          <w:sz w:val="24"/>
          <w:szCs w:val="24"/>
          <w:lang w:val="el-GR"/>
        </w:rPr>
        <w:t xml:space="preserve"> </w:t>
      </w:r>
      <w:r w:rsidRPr="00CF445B">
        <w:rPr>
          <w:rFonts w:asciiTheme="majorHAnsi" w:hAnsiTheme="majorHAnsi" w:cstheme="majorHAnsi"/>
          <w:sz w:val="24"/>
          <w:szCs w:val="24"/>
          <w:lang w:val="en-US"/>
        </w:rPr>
        <w:t>PACKAGING</w:t>
      </w:r>
      <w:r w:rsidRPr="00CF445B">
        <w:rPr>
          <w:rFonts w:asciiTheme="majorHAnsi" w:hAnsiTheme="majorHAnsi" w:cstheme="majorHAnsi"/>
          <w:sz w:val="24"/>
          <w:szCs w:val="24"/>
          <w:lang w:val="el-GR"/>
        </w:rPr>
        <w:t xml:space="preserve"> </w:t>
      </w:r>
      <w:r w:rsidRPr="00CF445B">
        <w:rPr>
          <w:rFonts w:asciiTheme="majorHAnsi" w:hAnsiTheme="majorHAnsi" w:cstheme="majorHAnsi"/>
          <w:sz w:val="24"/>
          <w:szCs w:val="24"/>
          <w:lang w:val="en-US"/>
        </w:rPr>
        <w:t>PROPRIETARY</w:t>
      </w:r>
      <w:r w:rsidRPr="00CF445B">
        <w:rPr>
          <w:rFonts w:asciiTheme="majorHAnsi" w:hAnsiTheme="majorHAnsi" w:cstheme="majorHAnsi"/>
          <w:sz w:val="24"/>
          <w:szCs w:val="24"/>
          <w:lang w:val="el-GR"/>
        </w:rPr>
        <w:t xml:space="preserve"> </w:t>
      </w:r>
      <w:r w:rsidRPr="00CF445B">
        <w:rPr>
          <w:rFonts w:asciiTheme="majorHAnsi" w:hAnsiTheme="majorHAnsi" w:cstheme="majorHAnsi"/>
          <w:sz w:val="24"/>
          <w:szCs w:val="24"/>
          <w:lang w:val="en-US"/>
        </w:rPr>
        <w:t>LTD</w:t>
      </w:r>
      <w:r w:rsidRPr="00CF445B">
        <w:rPr>
          <w:rFonts w:asciiTheme="majorHAnsi" w:hAnsiTheme="majorHAnsi" w:cstheme="majorHAnsi"/>
          <w:sz w:val="24"/>
          <w:szCs w:val="24"/>
          <w:lang w:val="el-GR"/>
        </w:rPr>
        <w:t xml:space="preserve"> (από κοινού τα «</w:t>
      </w:r>
      <w:r w:rsidRPr="00CF445B">
        <w:rPr>
          <w:rFonts w:asciiTheme="majorHAnsi" w:hAnsiTheme="majorHAnsi" w:cstheme="majorHAnsi"/>
          <w:b/>
          <w:sz w:val="24"/>
          <w:szCs w:val="24"/>
          <w:lang w:val="el-GR"/>
        </w:rPr>
        <w:t>Συντονισμένα Πρόσωπα</w:t>
      </w:r>
      <w:r w:rsidRPr="00CF445B">
        <w:rPr>
          <w:rFonts w:asciiTheme="majorHAnsi" w:hAnsiTheme="majorHAnsi" w:cstheme="majorHAnsi"/>
          <w:sz w:val="24"/>
          <w:szCs w:val="24"/>
          <w:lang w:val="el-GR"/>
        </w:rPr>
        <w:t>»). Πέραν των ανωτέρω, δεν υπάρχουν άλλα πρόσωπα (φυσικά ή νομικά) που να ενεργούν συντονισμένα με τον Προτείνοντα (κατά την έννοια του άρθρου 2, περίπτωση (ε) του Νόμου) αναφορικά με τη Δημόσια Πρόταση.</w:t>
      </w:r>
    </w:p>
    <w:p w14:paraId="2FE98C8D" w14:textId="485A5785" w:rsidR="00E50563" w:rsidRPr="00CF445B" w:rsidRDefault="00EC580D" w:rsidP="00E50563">
      <w:pPr>
        <w:spacing w:before="100" w:beforeAutospacing="1" w:after="100" w:afterAutospacing="1" w:line="240" w:lineRule="auto"/>
        <w:ind w:firstLine="284"/>
        <w:jc w:val="both"/>
        <w:rPr>
          <w:rFonts w:asciiTheme="majorHAnsi" w:hAnsiTheme="majorHAnsi" w:cstheme="majorHAnsi"/>
          <w:sz w:val="24"/>
          <w:szCs w:val="24"/>
          <w:lang w:val="el-GR"/>
        </w:rPr>
      </w:pPr>
      <w:r>
        <w:rPr>
          <w:rFonts w:asciiTheme="majorHAnsi" w:hAnsiTheme="majorHAnsi" w:cstheme="majorHAnsi"/>
          <w:sz w:val="24"/>
          <w:szCs w:val="24"/>
          <w:lang w:val="el-GR"/>
        </w:rPr>
        <w:t>Βάσει του Πληροφοριακού Δελτίου, τ</w:t>
      </w:r>
      <w:r w:rsidR="00E50563" w:rsidRPr="00CF445B">
        <w:rPr>
          <w:rFonts w:asciiTheme="majorHAnsi" w:hAnsiTheme="majorHAnsi" w:cstheme="majorHAnsi"/>
          <w:sz w:val="24"/>
          <w:szCs w:val="24"/>
          <w:lang w:val="el-GR"/>
        </w:rPr>
        <w:t>ο προσφερόμενο αντάλλαγμα της Δημόσιας Πρότασης συνίσταται στο ποσό των €2,10 σε μετρητά, πλέον 0,397590 νέων κοινών ονομαστικών μετοχών του Προτείνοντος που θα εκδοθούν δυνάμει της αύξησης του μετοχικού κεφαλαίου του Προτείνοντος, κατά ποσό έως €2.515.317,20, με την έκδοση έως 6.288.293 νέων κοινών ονομαστικών, μετά δικαιώματος ψήφου, μετοχών ονομαστικής αξίας €0,40 και τιμή διάθεσης €4,15 η κάθε μία, η οποία θα καλυφθεί με εισφορά σε είδος Μετοχών υπέρ των Μετόχων της Εταιρείας (η «</w:t>
      </w:r>
      <w:r w:rsidR="00E50563" w:rsidRPr="00CF445B">
        <w:rPr>
          <w:rFonts w:asciiTheme="majorHAnsi" w:hAnsiTheme="majorHAnsi" w:cstheme="majorHAnsi"/>
          <w:b/>
          <w:sz w:val="24"/>
          <w:szCs w:val="24"/>
          <w:lang w:val="el-GR"/>
        </w:rPr>
        <w:t>ΑΜΚ</w:t>
      </w:r>
      <w:r w:rsidR="00E50563" w:rsidRPr="00CF445B">
        <w:rPr>
          <w:rFonts w:asciiTheme="majorHAnsi" w:hAnsiTheme="majorHAnsi" w:cstheme="majorHAnsi"/>
          <w:sz w:val="24"/>
          <w:szCs w:val="24"/>
          <w:lang w:val="el-GR"/>
        </w:rPr>
        <w:t>»), που θα έχουν αποδεχτεί νομίμως και εγκύρως τη Δημόσια Πρόταση (το «</w:t>
      </w:r>
      <w:r w:rsidR="00E50563" w:rsidRPr="00CF445B">
        <w:rPr>
          <w:rFonts w:asciiTheme="majorHAnsi" w:hAnsiTheme="majorHAnsi" w:cstheme="majorHAnsi"/>
          <w:b/>
          <w:sz w:val="24"/>
          <w:szCs w:val="24"/>
          <w:lang w:val="el-GR"/>
        </w:rPr>
        <w:t>Προσφερόμενο Αντάλλαγμα</w:t>
      </w:r>
      <w:r w:rsidR="00E50563" w:rsidRPr="00CF445B">
        <w:rPr>
          <w:rFonts w:asciiTheme="majorHAnsi" w:hAnsiTheme="majorHAnsi" w:cstheme="majorHAnsi"/>
          <w:sz w:val="24"/>
          <w:szCs w:val="24"/>
          <w:lang w:val="el-GR"/>
        </w:rPr>
        <w:t xml:space="preserve">»). Το Ισοδύναμο Αντάλλαγμα σε Μετρητά ανέρχεται στο ποσό των €2,10+0,397590 </w:t>
      </w:r>
      <w:r w:rsidR="00E50563" w:rsidRPr="00CF445B">
        <w:rPr>
          <w:rFonts w:asciiTheme="majorHAnsi" w:hAnsiTheme="majorHAnsi" w:cstheme="majorHAnsi"/>
          <w:sz w:val="24"/>
          <w:szCs w:val="24"/>
          <w:lang w:val="en-US"/>
        </w:rPr>
        <w:t>x</w:t>
      </w:r>
      <w:r w:rsidR="00E50563" w:rsidRPr="00CF445B">
        <w:rPr>
          <w:rFonts w:asciiTheme="majorHAnsi" w:hAnsiTheme="majorHAnsi" w:cstheme="majorHAnsi"/>
          <w:sz w:val="24"/>
          <w:szCs w:val="24"/>
          <w:lang w:val="el-GR"/>
        </w:rPr>
        <w:t xml:space="preserve"> 3,50959 (στο οποίο συνίσταται η μέση σταθμισμένη χρηματιστηριακή μετοχή του Προτείνοντος) = €3,495 ανά Μετοχή (το «</w:t>
      </w:r>
      <w:r w:rsidR="00E50563" w:rsidRPr="00CF445B">
        <w:rPr>
          <w:rFonts w:asciiTheme="majorHAnsi" w:hAnsiTheme="majorHAnsi" w:cstheme="majorHAnsi"/>
          <w:b/>
          <w:sz w:val="24"/>
          <w:szCs w:val="24"/>
          <w:lang w:val="el-GR"/>
        </w:rPr>
        <w:t>Ισοδύναμο Αντάλλαγμα σε Μετρητά</w:t>
      </w:r>
      <w:r w:rsidR="00E50563" w:rsidRPr="00CF445B">
        <w:rPr>
          <w:rFonts w:asciiTheme="majorHAnsi" w:hAnsiTheme="majorHAnsi" w:cstheme="majorHAnsi"/>
          <w:sz w:val="24"/>
          <w:szCs w:val="24"/>
          <w:lang w:val="el-GR"/>
        </w:rPr>
        <w:t xml:space="preserve">»). </w:t>
      </w:r>
    </w:p>
    <w:p w14:paraId="2DC1B9B1" w14:textId="77777777" w:rsidR="00E50563" w:rsidRPr="00CF445B" w:rsidRDefault="00E50563" w:rsidP="00E50563">
      <w:pPr>
        <w:spacing w:before="100" w:beforeAutospacing="1" w:after="100" w:afterAutospacing="1" w:line="240" w:lineRule="auto"/>
        <w:ind w:firstLine="284"/>
        <w:jc w:val="both"/>
        <w:rPr>
          <w:rFonts w:asciiTheme="majorHAnsi" w:hAnsiTheme="majorHAnsi" w:cstheme="majorHAnsi"/>
          <w:sz w:val="24"/>
          <w:szCs w:val="24"/>
          <w:highlight w:val="yellow"/>
          <w:lang w:val="el-GR"/>
        </w:rPr>
      </w:pPr>
      <w:r w:rsidRPr="00CF445B">
        <w:rPr>
          <w:rFonts w:asciiTheme="majorHAnsi" w:hAnsiTheme="majorHAnsi" w:cstheme="majorHAnsi"/>
          <w:sz w:val="24"/>
          <w:szCs w:val="24"/>
          <w:lang w:val="el-GR"/>
        </w:rPr>
        <w:t>Πέραν της προϋπόθεσης του Ελαχίστου Αριθμού Μετοχών, η Δημόσια Πρόταση, υπόκειται στις ακόλουθες αιρέσεις σύμφωνα με το άρθρο 22 του Νόμου: α) την έκδοση των νέων μετοχών του Προτείνοντος δυνάμει της ΑΜΚ, οι οποίες θα προσφερθούν στους Αποδεχόμενους Μετόχους ως μέρος του Προσφερόμενου Ανταλλάγματος και β) την έγκριση εισαγωγής τους στο Χ.Α. σύμφωνα με το άρθρο 5.3.8 του Κανονισμού του ΧΑ σε συνδυασμό με το άρθρο 4 της Απόφασης 27 του Χ.Α.</w:t>
      </w:r>
    </w:p>
    <w:p w14:paraId="7BFD852D" w14:textId="77777777" w:rsidR="00E50563" w:rsidRPr="00CF445B" w:rsidRDefault="00E50563" w:rsidP="00E50563">
      <w:pPr>
        <w:spacing w:before="100" w:beforeAutospacing="1" w:after="100" w:afterAutospacing="1" w:line="240" w:lineRule="auto"/>
        <w:ind w:firstLine="284"/>
        <w:jc w:val="both"/>
        <w:rPr>
          <w:rFonts w:asciiTheme="majorHAnsi" w:hAnsiTheme="majorHAnsi" w:cstheme="majorHAnsi"/>
          <w:sz w:val="24"/>
          <w:szCs w:val="24"/>
          <w:highlight w:val="yellow"/>
          <w:lang w:val="el-GR"/>
        </w:rPr>
      </w:pPr>
      <w:r w:rsidRPr="00CF445B">
        <w:rPr>
          <w:rFonts w:asciiTheme="majorHAnsi" w:hAnsiTheme="majorHAnsi" w:cstheme="majorHAnsi"/>
          <w:sz w:val="24"/>
          <w:szCs w:val="24"/>
          <w:lang w:val="el-GR"/>
        </w:rPr>
        <w:lastRenderedPageBreak/>
        <w:t>Σύμβουλος του Προτείνοντος στο πλαίσιο της Δημόσιας Πρότασης ανέλαβε η Ε</w:t>
      </w:r>
      <w:proofErr w:type="spellStart"/>
      <w:r w:rsidRPr="00CF445B">
        <w:rPr>
          <w:rFonts w:asciiTheme="majorHAnsi" w:hAnsiTheme="majorHAnsi" w:cstheme="majorHAnsi"/>
          <w:sz w:val="24"/>
          <w:szCs w:val="24"/>
          <w:lang w:val="en-US"/>
        </w:rPr>
        <w:t>urobank</w:t>
      </w:r>
      <w:proofErr w:type="spellEnd"/>
      <w:r w:rsidRPr="00CF445B">
        <w:rPr>
          <w:rFonts w:asciiTheme="majorHAnsi" w:hAnsiTheme="majorHAnsi" w:cstheme="majorHAnsi"/>
          <w:sz w:val="24"/>
          <w:szCs w:val="24"/>
          <w:lang w:val="el-GR"/>
        </w:rPr>
        <w:t>, ελληνική τραπεζική εταιρεία με σημαντική εμπειρία σε έργα επενδυτικής τραπεζικής, η οποία συνυπογράφει το Πληροφοριακό Δελτίο και βεβαιώνει ότι, έχοντας καταβάλει την απαιτούμενη επιμέλεια, το περιεχόμενο του Πληροφοριακού Δελτίου είναι ακριβές,</w:t>
      </w:r>
    </w:p>
    <w:p w14:paraId="47EB134C" w14:textId="533FDBF8" w:rsidR="00E50563" w:rsidRPr="00CF445B" w:rsidRDefault="00E50563" w:rsidP="00E50563">
      <w:pPr>
        <w:spacing w:before="100" w:beforeAutospacing="1" w:after="100" w:afterAutospacing="1" w:line="240" w:lineRule="auto"/>
        <w:ind w:firstLine="284"/>
        <w:jc w:val="both"/>
        <w:rPr>
          <w:rFonts w:asciiTheme="majorHAnsi" w:hAnsiTheme="majorHAnsi" w:cstheme="majorHAnsi"/>
          <w:sz w:val="24"/>
          <w:szCs w:val="24"/>
          <w:lang w:val="el-GR"/>
        </w:rPr>
      </w:pPr>
      <w:r w:rsidRPr="00CF445B">
        <w:rPr>
          <w:rFonts w:asciiTheme="majorHAnsi" w:hAnsiTheme="majorHAnsi" w:cstheme="majorHAnsi"/>
          <w:sz w:val="24"/>
          <w:szCs w:val="24"/>
          <w:lang w:val="el-GR"/>
        </w:rPr>
        <w:t>Κ</w:t>
      </w:r>
      <w:r w:rsidR="00F10D3D">
        <w:rPr>
          <w:rFonts w:asciiTheme="majorHAnsi" w:hAnsiTheme="majorHAnsi" w:cstheme="majorHAnsi"/>
          <w:sz w:val="24"/>
          <w:szCs w:val="24"/>
          <w:lang w:val="el-GR"/>
        </w:rPr>
        <w:t xml:space="preserve">ατόπιν της από </w:t>
      </w:r>
      <w:r w:rsidR="005A0320" w:rsidRPr="00EC580D">
        <w:rPr>
          <w:rFonts w:asciiTheme="majorHAnsi" w:hAnsiTheme="majorHAnsi" w:cstheme="majorHAnsi"/>
          <w:sz w:val="24"/>
          <w:szCs w:val="24"/>
          <w:lang w:val="el-GR"/>
        </w:rPr>
        <w:t>12</w:t>
      </w:r>
      <w:r w:rsidR="00F10D3D">
        <w:rPr>
          <w:rFonts w:asciiTheme="majorHAnsi" w:hAnsiTheme="majorHAnsi" w:cstheme="majorHAnsi"/>
          <w:sz w:val="24"/>
          <w:szCs w:val="24"/>
          <w:lang w:val="el-GR"/>
        </w:rPr>
        <w:t xml:space="preserve">.08.2022 κλήσης, το Διοικητικό Συμβούλιο συνήλθε σε </w:t>
      </w:r>
      <w:r w:rsidRPr="00CF445B">
        <w:rPr>
          <w:rFonts w:asciiTheme="majorHAnsi" w:hAnsiTheme="majorHAnsi" w:cstheme="majorHAnsi"/>
          <w:sz w:val="24"/>
          <w:szCs w:val="24"/>
          <w:lang w:val="el-GR"/>
        </w:rPr>
        <w:t xml:space="preserve">συνεδρίαση </w:t>
      </w:r>
      <w:r w:rsidR="00F10D3D">
        <w:rPr>
          <w:rFonts w:asciiTheme="majorHAnsi" w:hAnsiTheme="majorHAnsi" w:cstheme="majorHAnsi"/>
          <w:sz w:val="24"/>
          <w:szCs w:val="24"/>
          <w:lang w:val="el-GR"/>
        </w:rPr>
        <w:t xml:space="preserve"> στην οποία παρέστησαν </w:t>
      </w:r>
      <w:r w:rsidRPr="00CF445B">
        <w:rPr>
          <w:rFonts w:asciiTheme="majorHAnsi" w:hAnsiTheme="majorHAnsi" w:cstheme="majorHAnsi"/>
          <w:sz w:val="24"/>
          <w:szCs w:val="24"/>
          <w:lang w:val="el-GR"/>
        </w:rPr>
        <w:t>όλα τα μέλη</w:t>
      </w:r>
      <w:r w:rsidR="00F10D3D">
        <w:rPr>
          <w:rFonts w:asciiTheme="majorHAnsi" w:hAnsiTheme="majorHAnsi" w:cstheme="majorHAnsi"/>
          <w:sz w:val="24"/>
          <w:szCs w:val="24"/>
          <w:lang w:val="el-GR"/>
        </w:rPr>
        <w:t xml:space="preserve"> του, ήτοι </w:t>
      </w:r>
      <w:r w:rsidR="002A1F09">
        <w:rPr>
          <w:rFonts w:asciiTheme="majorHAnsi" w:hAnsiTheme="majorHAnsi" w:cstheme="majorHAnsi"/>
          <w:sz w:val="24"/>
          <w:szCs w:val="24"/>
          <w:lang w:val="el-GR"/>
        </w:rPr>
        <w:t xml:space="preserve">οι κ. </w:t>
      </w:r>
      <w:proofErr w:type="spellStart"/>
      <w:r w:rsidR="002A1F09">
        <w:rPr>
          <w:rFonts w:asciiTheme="majorHAnsi" w:hAnsiTheme="majorHAnsi" w:cstheme="majorHAnsi"/>
          <w:sz w:val="24"/>
          <w:szCs w:val="24"/>
          <w:lang w:val="el-GR"/>
        </w:rPr>
        <w:t>Σπυριδογ</w:t>
      </w:r>
      <w:r w:rsidR="00ED2F1A">
        <w:rPr>
          <w:rFonts w:asciiTheme="majorHAnsi" w:hAnsiTheme="majorHAnsi" w:cstheme="majorHAnsi"/>
          <w:sz w:val="24"/>
          <w:szCs w:val="24"/>
          <w:lang w:val="el-GR"/>
        </w:rPr>
        <w:t>ε</w:t>
      </w:r>
      <w:r w:rsidR="002A1F09">
        <w:rPr>
          <w:rFonts w:asciiTheme="majorHAnsi" w:hAnsiTheme="majorHAnsi" w:cstheme="majorHAnsi"/>
          <w:sz w:val="24"/>
          <w:szCs w:val="24"/>
          <w:lang w:val="el-GR"/>
        </w:rPr>
        <w:t>ώργης</w:t>
      </w:r>
      <w:proofErr w:type="spellEnd"/>
      <w:r w:rsidR="002A1F09">
        <w:rPr>
          <w:rFonts w:asciiTheme="majorHAnsi" w:hAnsiTheme="majorHAnsi" w:cstheme="majorHAnsi"/>
          <w:sz w:val="24"/>
          <w:szCs w:val="24"/>
          <w:lang w:val="el-GR"/>
        </w:rPr>
        <w:t xml:space="preserve"> Βυζάντιος, </w:t>
      </w:r>
      <w:r w:rsidR="00F10D3D" w:rsidRPr="002A1F09">
        <w:rPr>
          <w:rFonts w:asciiTheme="majorHAnsi" w:hAnsiTheme="majorHAnsi" w:cstheme="majorHAnsi"/>
          <w:sz w:val="24"/>
          <w:szCs w:val="24"/>
          <w:lang w:val="el-GR"/>
        </w:rPr>
        <w:t xml:space="preserve">κ. Ιωάννης </w:t>
      </w:r>
      <w:proofErr w:type="spellStart"/>
      <w:r w:rsidR="00F10D3D" w:rsidRPr="002A1F09">
        <w:rPr>
          <w:rFonts w:asciiTheme="majorHAnsi" w:hAnsiTheme="majorHAnsi" w:cstheme="majorHAnsi"/>
          <w:sz w:val="24"/>
          <w:szCs w:val="24"/>
          <w:lang w:val="el-GR"/>
        </w:rPr>
        <w:t>Βραδής</w:t>
      </w:r>
      <w:proofErr w:type="spellEnd"/>
      <w:r w:rsidR="00F10D3D" w:rsidRPr="002A1F09">
        <w:rPr>
          <w:rFonts w:asciiTheme="majorHAnsi" w:hAnsiTheme="majorHAnsi" w:cstheme="majorHAnsi"/>
          <w:sz w:val="24"/>
          <w:szCs w:val="24"/>
          <w:lang w:val="el-GR"/>
        </w:rPr>
        <w:t xml:space="preserve">, </w:t>
      </w:r>
      <w:r w:rsidR="002A1F09">
        <w:rPr>
          <w:rFonts w:asciiTheme="majorHAnsi" w:hAnsiTheme="majorHAnsi" w:cstheme="majorHAnsi"/>
          <w:sz w:val="24"/>
          <w:szCs w:val="24"/>
          <w:lang w:val="el-GR"/>
        </w:rPr>
        <w:t xml:space="preserve">κα Νικολίτσα Βυζαντίου, κα </w:t>
      </w:r>
      <w:r w:rsidR="00F10D3D" w:rsidRPr="002A1F09">
        <w:rPr>
          <w:rFonts w:asciiTheme="majorHAnsi" w:hAnsiTheme="majorHAnsi" w:cstheme="majorHAnsi"/>
          <w:sz w:val="24"/>
          <w:szCs w:val="24"/>
          <w:lang w:val="el-GR"/>
        </w:rPr>
        <w:t xml:space="preserve">Αναστασία Λούη, </w:t>
      </w:r>
      <w:r w:rsidR="002A1F09">
        <w:rPr>
          <w:rFonts w:asciiTheme="majorHAnsi" w:hAnsiTheme="majorHAnsi" w:cstheme="majorHAnsi"/>
          <w:sz w:val="24"/>
          <w:szCs w:val="24"/>
          <w:lang w:val="el-GR"/>
        </w:rPr>
        <w:t xml:space="preserve">κ. </w:t>
      </w:r>
      <w:r w:rsidR="00F10D3D" w:rsidRPr="002A1F09">
        <w:rPr>
          <w:rFonts w:asciiTheme="majorHAnsi" w:hAnsiTheme="majorHAnsi" w:cstheme="majorHAnsi"/>
          <w:sz w:val="24"/>
          <w:szCs w:val="24"/>
          <w:lang w:val="el-GR"/>
        </w:rPr>
        <w:t>Βασίλειος Λυμπερόπουλος,</w:t>
      </w:r>
      <w:r w:rsidR="002A1F09">
        <w:rPr>
          <w:rFonts w:asciiTheme="majorHAnsi" w:hAnsiTheme="majorHAnsi" w:cstheme="majorHAnsi"/>
          <w:sz w:val="24"/>
          <w:szCs w:val="24"/>
          <w:lang w:val="el-GR"/>
        </w:rPr>
        <w:t xml:space="preserve"> κ. </w:t>
      </w:r>
      <w:r w:rsidR="00F10D3D" w:rsidRPr="002A1F09">
        <w:rPr>
          <w:rFonts w:asciiTheme="majorHAnsi" w:hAnsiTheme="majorHAnsi" w:cstheme="majorHAnsi"/>
          <w:sz w:val="24"/>
          <w:szCs w:val="24"/>
          <w:lang w:val="el-GR"/>
        </w:rPr>
        <w:t>Κωνσταντίνος Φωτεινόπουλος και</w:t>
      </w:r>
      <w:r w:rsidR="002A1F09" w:rsidRPr="002A1F09">
        <w:rPr>
          <w:rFonts w:asciiTheme="majorHAnsi" w:hAnsiTheme="majorHAnsi" w:cstheme="majorHAnsi"/>
          <w:sz w:val="24"/>
          <w:szCs w:val="24"/>
          <w:lang w:val="el-GR"/>
        </w:rPr>
        <w:t xml:space="preserve"> </w:t>
      </w:r>
      <w:r w:rsidR="002A1F09">
        <w:rPr>
          <w:rFonts w:asciiTheme="majorHAnsi" w:hAnsiTheme="majorHAnsi" w:cstheme="majorHAnsi"/>
          <w:sz w:val="24"/>
          <w:szCs w:val="24"/>
          <w:lang w:val="el-GR"/>
        </w:rPr>
        <w:t xml:space="preserve">κα </w:t>
      </w:r>
      <w:r w:rsidR="002A1F09" w:rsidRPr="002A1F09">
        <w:rPr>
          <w:rFonts w:asciiTheme="majorHAnsi" w:hAnsiTheme="majorHAnsi" w:cstheme="majorHAnsi"/>
          <w:sz w:val="24"/>
          <w:szCs w:val="24"/>
          <w:lang w:val="el-GR"/>
        </w:rPr>
        <w:t xml:space="preserve">Αναστασία-Νικόλ Κωνσταντινίδου. </w:t>
      </w:r>
      <w:r w:rsidR="002A1F09">
        <w:rPr>
          <w:rFonts w:asciiTheme="majorHAnsi" w:hAnsiTheme="majorHAnsi" w:cstheme="majorHAnsi"/>
          <w:sz w:val="24"/>
          <w:szCs w:val="24"/>
          <w:lang w:val="el-GR"/>
        </w:rPr>
        <w:t xml:space="preserve">Σημειώνεται ότι ο </w:t>
      </w:r>
      <w:r w:rsidRPr="00CF445B">
        <w:rPr>
          <w:rFonts w:asciiTheme="majorHAnsi" w:hAnsiTheme="majorHAnsi" w:cstheme="majorHAnsi"/>
          <w:sz w:val="24"/>
          <w:szCs w:val="24"/>
          <w:lang w:val="el-GR"/>
        </w:rPr>
        <w:t>Πρ</w:t>
      </w:r>
      <w:r w:rsidR="002A1F09">
        <w:rPr>
          <w:rFonts w:asciiTheme="majorHAnsi" w:hAnsiTheme="majorHAnsi" w:cstheme="majorHAnsi"/>
          <w:sz w:val="24"/>
          <w:szCs w:val="24"/>
          <w:lang w:val="el-GR"/>
        </w:rPr>
        <w:t>όε</w:t>
      </w:r>
      <w:r w:rsidRPr="00CF445B">
        <w:rPr>
          <w:rFonts w:asciiTheme="majorHAnsi" w:hAnsiTheme="majorHAnsi" w:cstheme="majorHAnsi"/>
          <w:sz w:val="24"/>
          <w:szCs w:val="24"/>
          <w:lang w:val="el-GR"/>
        </w:rPr>
        <w:t>δρο</w:t>
      </w:r>
      <w:r w:rsidR="002A1F09">
        <w:rPr>
          <w:rFonts w:asciiTheme="majorHAnsi" w:hAnsiTheme="majorHAnsi" w:cstheme="majorHAnsi"/>
          <w:sz w:val="24"/>
          <w:szCs w:val="24"/>
          <w:lang w:val="el-GR"/>
        </w:rPr>
        <w:t>ς</w:t>
      </w:r>
      <w:r w:rsidRPr="00CF445B">
        <w:rPr>
          <w:rFonts w:asciiTheme="majorHAnsi" w:hAnsiTheme="majorHAnsi" w:cstheme="majorHAnsi"/>
          <w:sz w:val="24"/>
          <w:szCs w:val="24"/>
          <w:lang w:val="el-GR"/>
        </w:rPr>
        <w:t xml:space="preserve"> και Διευθύν</w:t>
      </w:r>
      <w:r w:rsidR="002A1F09">
        <w:rPr>
          <w:rFonts w:asciiTheme="majorHAnsi" w:hAnsiTheme="majorHAnsi" w:cstheme="majorHAnsi"/>
          <w:sz w:val="24"/>
          <w:szCs w:val="24"/>
          <w:lang w:val="el-GR"/>
        </w:rPr>
        <w:t>ων</w:t>
      </w:r>
      <w:r w:rsidRPr="00CF445B">
        <w:rPr>
          <w:rFonts w:asciiTheme="majorHAnsi" w:hAnsiTheme="majorHAnsi" w:cstheme="majorHAnsi"/>
          <w:sz w:val="24"/>
          <w:szCs w:val="24"/>
          <w:lang w:val="el-GR"/>
        </w:rPr>
        <w:t xml:space="preserve"> Σ</w:t>
      </w:r>
      <w:r w:rsidR="002A1F09">
        <w:rPr>
          <w:rFonts w:asciiTheme="majorHAnsi" w:hAnsiTheme="majorHAnsi" w:cstheme="majorHAnsi"/>
          <w:sz w:val="24"/>
          <w:szCs w:val="24"/>
          <w:lang w:val="el-GR"/>
        </w:rPr>
        <w:t>ύμβουλος</w:t>
      </w:r>
      <w:r w:rsidRPr="00CF445B">
        <w:rPr>
          <w:rFonts w:asciiTheme="majorHAnsi" w:hAnsiTheme="majorHAnsi" w:cstheme="majorHAnsi"/>
          <w:sz w:val="24"/>
          <w:szCs w:val="24"/>
          <w:lang w:val="el-GR"/>
        </w:rPr>
        <w:t xml:space="preserve"> της Εταιρείας κ. </w:t>
      </w:r>
      <w:proofErr w:type="spellStart"/>
      <w:r w:rsidRPr="00CF445B">
        <w:rPr>
          <w:rFonts w:asciiTheme="majorHAnsi" w:hAnsiTheme="majorHAnsi" w:cstheme="majorHAnsi"/>
          <w:sz w:val="24"/>
          <w:szCs w:val="24"/>
          <w:lang w:val="el-GR"/>
        </w:rPr>
        <w:t>Σπυριδογ</w:t>
      </w:r>
      <w:r w:rsidR="00ED2F1A">
        <w:rPr>
          <w:rFonts w:asciiTheme="majorHAnsi" w:hAnsiTheme="majorHAnsi" w:cstheme="majorHAnsi"/>
          <w:sz w:val="24"/>
          <w:szCs w:val="24"/>
          <w:lang w:val="el-GR"/>
        </w:rPr>
        <w:t>ε</w:t>
      </w:r>
      <w:r w:rsidRPr="00CF445B">
        <w:rPr>
          <w:rFonts w:asciiTheme="majorHAnsi" w:hAnsiTheme="majorHAnsi" w:cstheme="majorHAnsi"/>
          <w:sz w:val="24"/>
          <w:szCs w:val="24"/>
          <w:lang w:val="el-GR"/>
        </w:rPr>
        <w:t>ώργη</w:t>
      </w:r>
      <w:r w:rsidR="002A1F09">
        <w:rPr>
          <w:rFonts w:asciiTheme="majorHAnsi" w:hAnsiTheme="majorHAnsi" w:cstheme="majorHAnsi"/>
          <w:sz w:val="24"/>
          <w:szCs w:val="24"/>
          <w:lang w:val="el-GR"/>
        </w:rPr>
        <w:t>ς</w:t>
      </w:r>
      <w:proofErr w:type="spellEnd"/>
      <w:r w:rsidRPr="00CF445B">
        <w:rPr>
          <w:rFonts w:asciiTheme="majorHAnsi" w:hAnsiTheme="majorHAnsi" w:cstheme="majorHAnsi"/>
          <w:sz w:val="24"/>
          <w:szCs w:val="24"/>
          <w:lang w:val="el-GR"/>
        </w:rPr>
        <w:t xml:space="preserve"> Βυζ</w:t>
      </w:r>
      <w:r w:rsidR="002A1F09">
        <w:rPr>
          <w:rFonts w:asciiTheme="majorHAnsi" w:hAnsiTheme="majorHAnsi" w:cstheme="majorHAnsi"/>
          <w:sz w:val="24"/>
          <w:szCs w:val="24"/>
          <w:lang w:val="el-GR"/>
        </w:rPr>
        <w:t>ά</w:t>
      </w:r>
      <w:r w:rsidRPr="00CF445B">
        <w:rPr>
          <w:rFonts w:asciiTheme="majorHAnsi" w:hAnsiTheme="majorHAnsi" w:cstheme="majorHAnsi"/>
          <w:sz w:val="24"/>
          <w:szCs w:val="24"/>
          <w:lang w:val="el-GR"/>
        </w:rPr>
        <w:t>ντ</w:t>
      </w:r>
      <w:r w:rsidR="002A1F09">
        <w:rPr>
          <w:rFonts w:asciiTheme="majorHAnsi" w:hAnsiTheme="majorHAnsi" w:cstheme="majorHAnsi"/>
          <w:sz w:val="24"/>
          <w:szCs w:val="24"/>
          <w:lang w:val="el-GR"/>
        </w:rPr>
        <w:t>ι</w:t>
      </w:r>
      <w:r w:rsidRPr="00CF445B">
        <w:rPr>
          <w:rFonts w:asciiTheme="majorHAnsi" w:hAnsiTheme="majorHAnsi" w:cstheme="majorHAnsi"/>
          <w:sz w:val="24"/>
          <w:szCs w:val="24"/>
          <w:lang w:val="el-GR"/>
        </w:rPr>
        <w:t>ο</w:t>
      </w:r>
      <w:r w:rsidR="002A1F09">
        <w:rPr>
          <w:rFonts w:asciiTheme="majorHAnsi" w:hAnsiTheme="majorHAnsi" w:cstheme="majorHAnsi"/>
          <w:sz w:val="24"/>
          <w:szCs w:val="24"/>
          <w:lang w:val="el-GR"/>
        </w:rPr>
        <w:t>ς</w:t>
      </w:r>
      <w:r w:rsidRPr="00CF445B">
        <w:rPr>
          <w:rFonts w:asciiTheme="majorHAnsi" w:hAnsiTheme="majorHAnsi" w:cstheme="majorHAnsi"/>
          <w:sz w:val="24"/>
          <w:szCs w:val="24"/>
          <w:lang w:val="el-GR"/>
        </w:rPr>
        <w:t xml:space="preserve">, και το </w:t>
      </w:r>
      <w:r w:rsidR="005A0320">
        <w:rPr>
          <w:rFonts w:asciiTheme="majorHAnsi" w:hAnsiTheme="majorHAnsi" w:cstheme="majorHAnsi"/>
          <w:sz w:val="24"/>
          <w:szCs w:val="24"/>
          <w:lang w:val="el-GR"/>
        </w:rPr>
        <w:t xml:space="preserve">εκτελεστικό </w:t>
      </w:r>
      <w:r w:rsidRPr="00CF445B">
        <w:rPr>
          <w:rFonts w:asciiTheme="majorHAnsi" w:hAnsiTheme="majorHAnsi" w:cstheme="majorHAnsi"/>
          <w:sz w:val="24"/>
          <w:szCs w:val="24"/>
          <w:lang w:val="el-GR"/>
        </w:rPr>
        <w:t xml:space="preserve">μέλος ΔΣ κα Νικολίτσα Βυζαντίου, συμμετείχαν </w:t>
      </w:r>
      <w:r w:rsidR="002A1F09">
        <w:rPr>
          <w:rFonts w:asciiTheme="majorHAnsi" w:hAnsiTheme="majorHAnsi" w:cstheme="majorHAnsi"/>
          <w:sz w:val="24"/>
          <w:szCs w:val="24"/>
          <w:lang w:val="el-GR"/>
        </w:rPr>
        <w:t xml:space="preserve">μεν </w:t>
      </w:r>
      <w:r w:rsidRPr="00CF445B">
        <w:rPr>
          <w:rFonts w:asciiTheme="majorHAnsi" w:hAnsiTheme="majorHAnsi" w:cstheme="majorHAnsi"/>
          <w:sz w:val="24"/>
          <w:szCs w:val="24"/>
          <w:lang w:val="el-GR"/>
        </w:rPr>
        <w:t>στην συν</w:t>
      </w:r>
      <w:r w:rsidR="002A1F09">
        <w:rPr>
          <w:rFonts w:asciiTheme="majorHAnsi" w:hAnsiTheme="majorHAnsi" w:cstheme="majorHAnsi"/>
          <w:sz w:val="24"/>
          <w:szCs w:val="24"/>
          <w:lang w:val="el-GR"/>
        </w:rPr>
        <w:t>ε</w:t>
      </w:r>
      <w:r w:rsidRPr="00CF445B">
        <w:rPr>
          <w:rFonts w:asciiTheme="majorHAnsi" w:hAnsiTheme="majorHAnsi" w:cstheme="majorHAnsi"/>
          <w:sz w:val="24"/>
          <w:szCs w:val="24"/>
          <w:lang w:val="el-GR"/>
        </w:rPr>
        <w:t>δρίαση</w:t>
      </w:r>
      <w:r w:rsidR="005A0320">
        <w:rPr>
          <w:rFonts w:asciiTheme="majorHAnsi" w:hAnsiTheme="majorHAnsi" w:cstheme="majorHAnsi"/>
          <w:sz w:val="24"/>
          <w:szCs w:val="24"/>
          <w:lang w:val="el-GR"/>
        </w:rPr>
        <w:t>,</w:t>
      </w:r>
      <w:r w:rsidRPr="00CF445B">
        <w:rPr>
          <w:rFonts w:asciiTheme="majorHAnsi" w:hAnsiTheme="majorHAnsi" w:cstheme="majorHAnsi"/>
          <w:sz w:val="24"/>
          <w:szCs w:val="24"/>
          <w:lang w:val="el-GR"/>
        </w:rPr>
        <w:t xml:space="preserve"> αλλά απείχαν από τη ψ</w:t>
      </w:r>
      <w:r w:rsidR="00383AEB">
        <w:rPr>
          <w:rFonts w:asciiTheme="majorHAnsi" w:hAnsiTheme="majorHAnsi" w:cstheme="majorHAnsi"/>
          <w:sz w:val="24"/>
          <w:szCs w:val="24"/>
          <w:lang w:val="el-GR"/>
        </w:rPr>
        <w:t>η</w:t>
      </w:r>
      <w:r w:rsidRPr="00CF445B">
        <w:rPr>
          <w:rFonts w:asciiTheme="majorHAnsi" w:hAnsiTheme="majorHAnsi" w:cstheme="majorHAnsi"/>
          <w:sz w:val="24"/>
          <w:szCs w:val="24"/>
          <w:lang w:val="el-GR"/>
        </w:rPr>
        <w:t>φ</w:t>
      </w:r>
      <w:r w:rsidR="002A1F09">
        <w:rPr>
          <w:rFonts w:asciiTheme="majorHAnsi" w:hAnsiTheme="majorHAnsi" w:cstheme="majorHAnsi"/>
          <w:sz w:val="24"/>
          <w:szCs w:val="24"/>
          <w:lang w:val="el-GR"/>
        </w:rPr>
        <w:t>οφορία,</w:t>
      </w:r>
      <w:r w:rsidRPr="00CF445B">
        <w:rPr>
          <w:rFonts w:asciiTheme="majorHAnsi" w:hAnsiTheme="majorHAnsi" w:cstheme="majorHAnsi"/>
          <w:sz w:val="24"/>
          <w:szCs w:val="24"/>
          <w:lang w:val="el-GR"/>
        </w:rPr>
        <w:t xml:space="preserve"> λόγω δήλωσής τους περί συνδρομής στο πρόσωπό τους περίπτωσης συγκρούσεως συμφερόντων, σύμφωνα με το άρθρο 97 παρ.3 Ν. 4548/2018, λόγω της από 28/7/2022 προτάσεως συνεργασίας για την παραμονή του κ. Βυζαντίου στην θέση του Προέδρου και Διευθύνοντος Συμβούλου. </w:t>
      </w:r>
    </w:p>
    <w:p w14:paraId="20501F81" w14:textId="00550D14" w:rsidR="00E50563" w:rsidRDefault="00E50563" w:rsidP="00E50563">
      <w:pPr>
        <w:spacing w:before="100" w:beforeAutospacing="1" w:after="100" w:afterAutospacing="1" w:line="240" w:lineRule="auto"/>
        <w:ind w:firstLine="284"/>
        <w:jc w:val="both"/>
        <w:rPr>
          <w:rFonts w:asciiTheme="majorHAnsi" w:hAnsiTheme="majorHAnsi" w:cstheme="majorHAnsi"/>
          <w:sz w:val="24"/>
          <w:szCs w:val="24"/>
          <w:lang w:val="el-GR"/>
        </w:rPr>
      </w:pPr>
      <w:r w:rsidRPr="00CF445B">
        <w:rPr>
          <w:rFonts w:asciiTheme="majorHAnsi" w:hAnsiTheme="majorHAnsi" w:cstheme="majorHAnsi"/>
          <w:sz w:val="24"/>
          <w:szCs w:val="24"/>
          <w:lang w:val="el-GR"/>
        </w:rPr>
        <w:t xml:space="preserve">Σύμφωνα με τα ανωτέρω, και αφού διαπιστώθηκε η απαιτούμενη απαρτία σύμφωνα με το Ν. 4548/2018 και το Καταστατικό της Εταιρείας, το Διοικητικό Συμβούλιο της Εταιρείας διατυπώνει </w:t>
      </w:r>
      <w:r w:rsidR="00AD4132">
        <w:rPr>
          <w:rFonts w:asciiTheme="majorHAnsi" w:hAnsiTheme="majorHAnsi" w:cstheme="majorHAnsi"/>
          <w:sz w:val="24"/>
          <w:szCs w:val="24"/>
          <w:lang w:val="el-GR"/>
        </w:rPr>
        <w:t xml:space="preserve">την αιτιολογημένη γνώμη του κατ’ </w:t>
      </w:r>
      <w:r w:rsidRPr="00CF445B">
        <w:rPr>
          <w:rFonts w:asciiTheme="majorHAnsi" w:hAnsiTheme="majorHAnsi" w:cstheme="majorHAnsi"/>
          <w:sz w:val="24"/>
          <w:szCs w:val="24"/>
          <w:lang w:val="el-GR"/>
        </w:rPr>
        <w:t>άρθρο 15 Ν. 3461/2006 σχετικά με τη Δημόσια Πρόταση ως εξής:</w:t>
      </w:r>
    </w:p>
    <w:p w14:paraId="3F5A485A" w14:textId="77777777" w:rsidR="005A0320" w:rsidRDefault="005A0320" w:rsidP="00E50563">
      <w:pPr>
        <w:spacing w:before="100" w:beforeAutospacing="1" w:after="100" w:afterAutospacing="1" w:line="240" w:lineRule="auto"/>
        <w:ind w:firstLine="284"/>
        <w:jc w:val="both"/>
        <w:rPr>
          <w:rFonts w:asciiTheme="majorHAnsi" w:hAnsiTheme="majorHAnsi" w:cstheme="majorHAnsi"/>
          <w:sz w:val="24"/>
          <w:szCs w:val="24"/>
          <w:lang w:val="el-GR"/>
        </w:rPr>
      </w:pPr>
    </w:p>
    <w:p w14:paraId="3CD569FC" w14:textId="77777777" w:rsidR="00E50563" w:rsidRPr="006E5857" w:rsidRDefault="00E50563" w:rsidP="00E50563">
      <w:pPr>
        <w:pStyle w:val="Heading1"/>
        <w:rPr>
          <w:rFonts w:asciiTheme="majorHAnsi" w:hAnsiTheme="majorHAnsi" w:cstheme="majorHAnsi"/>
          <w:b/>
          <w:bCs/>
          <w:szCs w:val="24"/>
          <w:lang w:val="el-GR"/>
        </w:rPr>
      </w:pPr>
      <w:bookmarkStart w:id="3" w:name="_Toc111202953"/>
      <w:r w:rsidRPr="006E5857">
        <w:rPr>
          <w:rFonts w:asciiTheme="majorHAnsi" w:hAnsiTheme="majorHAnsi" w:cstheme="majorHAnsi"/>
          <w:b/>
          <w:bCs/>
          <w:szCs w:val="24"/>
          <w:lang w:val="el-GR"/>
        </w:rPr>
        <w:t>2. Περιεχόμενο Αιτιολογημένης Γνώμης</w:t>
      </w:r>
      <w:bookmarkEnd w:id="3"/>
    </w:p>
    <w:p w14:paraId="624FC562" w14:textId="77777777" w:rsidR="00E50563" w:rsidRPr="00CF445B" w:rsidRDefault="00E50563" w:rsidP="00E50563">
      <w:pPr>
        <w:pStyle w:val="NoSpacing"/>
        <w:jc w:val="both"/>
        <w:rPr>
          <w:rStyle w:val="IntenseEmphasis"/>
          <w:rFonts w:asciiTheme="majorHAnsi" w:eastAsiaTheme="majorEastAsia" w:hAnsiTheme="majorHAnsi" w:cstheme="majorHAnsi"/>
          <w:b w:val="0"/>
          <w:bCs w:val="0"/>
          <w:i w:val="0"/>
        </w:rPr>
      </w:pPr>
    </w:p>
    <w:p w14:paraId="29541C77" w14:textId="77777777" w:rsidR="00E50563" w:rsidRPr="00CF445B" w:rsidRDefault="00E50563" w:rsidP="00E50563">
      <w:pPr>
        <w:pStyle w:val="Heading2"/>
        <w:spacing w:before="0"/>
        <w:jc w:val="both"/>
        <w:rPr>
          <w:rStyle w:val="IntenseEmphasis"/>
          <w:rFonts w:cstheme="majorHAnsi"/>
          <w:b w:val="0"/>
          <w:i w:val="0"/>
          <w:color w:val="auto"/>
          <w:sz w:val="24"/>
          <w:szCs w:val="24"/>
          <w:lang w:val="el-GR"/>
        </w:rPr>
      </w:pPr>
      <w:bookmarkStart w:id="4" w:name="_Toc111202954"/>
      <w:r w:rsidRPr="00CF445B">
        <w:rPr>
          <w:rStyle w:val="IntenseEmphasis"/>
          <w:rFonts w:cstheme="majorHAnsi"/>
          <w:color w:val="auto"/>
          <w:sz w:val="24"/>
          <w:szCs w:val="24"/>
          <w:lang w:val="el-GR"/>
        </w:rPr>
        <w:t>2.1. Αριθμός Μετοχών της Εταιρείας που κατέχουν ή ελέγχουν, άμεσα ή έμμεσα, τα μέλη του Διοικητικού Συμβουλίου και τα διευθυντικά στελέχη της Εταιρείας (άρθρο 15 παρ. 2 περ. α. του Ν. 3461/2006).</w:t>
      </w:r>
      <w:bookmarkEnd w:id="4"/>
    </w:p>
    <w:p w14:paraId="1AD4CF3C" w14:textId="1912BB15" w:rsidR="00E50563" w:rsidRPr="00CF445B" w:rsidRDefault="00E50563" w:rsidP="00E50563">
      <w:pPr>
        <w:spacing w:before="100" w:beforeAutospacing="1" w:after="100" w:afterAutospacing="1" w:line="240" w:lineRule="auto"/>
        <w:ind w:firstLine="284"/>
        <w:jc w:val="both"/>
        <w:rPr>
          <w:rFonts w:asciiTheme="majorHAnsi" w:hAnsiTheme="majorHAnsi" w:cstheme="majorHAnsi"/>
          <w:sz w:val="24"/>
          <w:szCs w:val="24"/>
          <w:lang w:val="el-GR"/>
        </w:rPr>
      </w:pPr>
      <w:r w:rsidRPr="00CF445B">
        <w:rPr>
          <w:rFonts w:asciiTheme="majorHAnsi" w:hAnsiTheme="majorHAnsi" w:cstheme="majorHAnsi"/>
          <w:sz w:val="24"/>
          <w:szCs w:val="24"/>
          <w:lang w:val="el-GR"/>
        </w:rPr>
        <w:t xml:space="preserve">Κατά την 17.08.2022, τα μέλη του Διοικητικού Συμβουλίου και τα διευθυντικά στελέχη της Εταιρείας που κατείχαν άμεσα ή έμμεσα </w:t>
      </w:r>
      <w:r w:rsidR="00637991">
        <w:rPr>
          <w:rFonts w:asciiTheme="majorHAnsi" w:hAnsiTheme="majorHAnsi" w:cstheme="majorHAnsi"/>
          <w:sz w:val="24"/>
          <w:szCs w:val="24"/>
          <w:lang w:val="el-GR"/>
        </w:rPr>
        <w:t xml:space="preserve">Μετοχές και </w:t>
      </w:r>
      <w:r w:rsidRPr="00CF445B">
        <w:rPr>
          <w:rFonts w:asciiTheme="majorHAnsi" w:hAnsiTheme="majorHAnsi" w:cstheme="majorHAnsi"/>
          <w:sz w:val="24"/>
          <w:szCs w:val="24"/>
          <w:lang w:val="el-GR"/>
        </w:rPr>
        <w:t>δικαι</w:t>
      </w:r>
      <w:r w:rsidR="00637991">
        <w:rPr>
          <w:rFonts w:asciiTheme="majorHAnsi" w:hAnsiTheme="majorHAnsi" w:cstheme="majorHAnsi"/>
          <w:sz w:val="24"/>
          <w:szCs w:val="24"/>
          <w:lang w:val="el-GR"/>
        </w:rPr>
        <w:t>ώ</w:t>
      </w:r>
      <w:r w:rsidRPr="00CF445B">
        <w:rPr>
          <w:rFonts w:asciiTheme="majorHAnsi" w:hAnsiTheme="majorHAnsi" w:cstheme="majorHAnsi"/>
          <w:sz w:val="24"/>
          <w:szCs w:val="24"/>
          <w:lang w:val="el-GR"/>
        </w:rPr>
        <w:t>μ</w:t>
      </w:r>
      <w:r w:rsidR="00637991">
        <w:rPr>
          <w:rFonts w:asciiTheme="majorHAnsi" w:hAnsiTheme="majorHAnsi" w:cstheme="majorHAnsi"/>
          <w:sz w:val="24"/>
          <w:szCs w:val="24"/>
          <w:lang w:val="el-GR"/>
        </w:rPr>
        <w:t>ατα</w:t>
      </w:r>
      <w:r w:rsidRPr="00CF445B">
        <w:rPr>
          <w:rFonts w:asciiTheme="majorHAnsi" w:hAnsiTheme="majorHAnsi" w:cstheme="majorHAnsi"/>
          <w:sz w:val="24"/>
          <w:szCs w:val="24"/>
          <w:lang w:val="el-GR"/>
        </w:rPr>
        <w:t xml:space="preserve"> ψήφου της Εταιρείας είναι:</w:t>
      </w:r>
      <w:r w:rsidRPr="00CF445B">
        <w:rPr>
          <w:rFonts w:asciiTheme="majorHAnsi" w:hAnsiTheme="majorHAnsi" w:cstheme="majorHAnsi"/>
          <w:sz w:val="24"/>
          <w:szCs w:val="24"/>
          <w:lang w:val="el-GR"/>
        </w:rPr>
        <w:tab/>
      </w:r>
    </w:p>
    <w:tbl>
      <w:tblPr>
        <w:tblStyle w:val="TableGrid"/>
        <w:tblW w:w="0" w:type="auto"/>
        <w:jc w:val="center"/>
        <w:tblLook w:val="04A0" w:firstRow="1" w:lastRow="0" w:firstColumn="1" w:lastColumn="0" w:noHBand="0" w:noVBand="1"/>
      </w:tblPr>
      <w:tblGrid>
        <w:gridCol w:w="2263"/>
        <w:gridCol w:w="2049"/>
        <w:gridCol w:w="2072"/>
        <w:gridCol w:w="2482"/>
      </w:tblGrid>
      <w:tr w:rsidR="00E50563" w:rsidRPr="00CF445B" w14:paraId="3CB11B58" w14:textId="77777777" w:rsidTr="00D13254">
        <w:trPr>
          <w:jc w:val="center"/>
        </w:trPr>
        <w:tc>
          <w:tcPr>
            <w:tcW w:w="2263" w:type="dxa"/>
            <w:shd w:val="clear" w:color="auto" w:fill="DEEAF6" w:themeFill="accent5" w:themeFillTint="33"/>
          </w:tcPr>
          <w:p w14:paraId="711EE7A4" w14:textId="77777777" w:rsidR="00E50563" w:rsidRPr="00CF445B" w:rsidRDefault="00E50563" w:rsidP="002A1F09">
            <w:pPr>
              <w:tabs>
                <w:tab w:val="left" w:pos="142"/>
              </w:tabs>
              <w:jc w:val="center"/>
              <w:rPr>
                <w:rFonts w:asciiTheme="majorHAnsi" w:hAnsiTheme="majorHAnsi" w:cstheme="majorHAnsi"/>
                <w:sz w:val="24"/>
                <w:szCs w:val="24"/>
                <w:lang w:val="el-GR"/>
              </w:rPr>
            </w:pPr>
            <w:r w:rsidRPr="00CF445B">
              <w:rPr>
                <w:rFonts w:asciiTheme="majorHAnsi" w:hAnsiTheme="majorHAnsi" w:cstheme="majorHAnsi"/>
                <w:sz w:val="24"/>
                <w:szCs w:val="24"/>
                <w:lang w:val="el-GR"/>
              </w:rPr>
              <w:t>Ονοματεπώνυμο</w:t>
            </w:r>
          </w:p>
        </w:tc>
        <w:tc>
          <w:tcPr>
            <w:tcW w:w="2049" w:type="dxa"/>
            <w:shd w:val="clear" w:color="auto" w:fill="DEEAF6" w:themeFill="accent5" w:themeFillTint="33"/>
          </w:tcPr>
          <w:p w14:paraId="49A97D48" w14:textId="77777777" w:rsidR="00E50563" w:rsidRPr="00CF445B" w:rsidRDefault="00E50563" w:rsidP="002A1F09">
            <w:pPr>
              <w:tabs>
                <w:tab w:val="left" w:pos="142"/>
              </w:tabs>
              <w:jc w:val="center"/>
              <w:rPr>
                <w:rFonts w:asciiTheme="majorHAnsi" w:hAnsiTheme="majorHAnsi" w:cstheme="majorHAnsi"/>
                <w:sz w:val="24"/>
                <w:szCs w:val="24"/>
                <w:lang w:val="el-GR"/>
              </w:rPr>
            </w:pPr>
            <w:r w:rsidRPr="00CF445B">
              <w:rPr>
                <w:rFonts w:asciiTheme="majorHAnsi" w:hAnsiTheme="majorHAnsi" w:cstheme="majorHAnsi"/>
                <w:sz w:val="24"/>
                <w:szCs w:val="24"/>
                <w:lang w:val="el-GR"/>
              </w:rPr>
              <w:t>Ιδιότητα</w:t>
            </w:r>
          </w:p>
        </w:tc>
        <w:tc>
          <w:tcPr>
            <w:tcW w:w="2072" w:type="dxa"/>
            <w:shd w:val="clear" w:color="auto" w:fill="DEEAF6" w:themeFill="accent5" w:themeFillTint="33"/>
          </w:tcPr>
          <w:p w14:paraId="063812FE" w14:textId="77777777" w:rsidR="00E50563" w:rsidRPr="00CF445B" w:rsidRDefault="00E50563" w:rsidP="002A1F09">
            <w:pPr>
              <w:tabs>
                <w:tab w:val="left" w:pos="142"/>
              </w:tabs>
              <w:jc w:val="center"/>
              <w:rPr>
                <w:rFonts w:asciiTheme="majorHAnsi" w:hAnsiTheme="majorHAnsi" w:cstheme="majorHAnsi"/>
                <w:sz w:val="24"/>
                <w:szCs w:val="24"/>
                <w:lang w:val="el-GR"/>
              </w:rPr>
            </w:pPr>
            <w:r w:rsidRPr="00CF445B">
              <w:rPr>
                <w:rFonts w:asciiTheme="majorHAnsi" w:hAnsiTheme="majorHAnsi" w:cstheme="majorHAnsi"/>
                <w:sz w:val="24"/>
                <w:szCs w:val="24"/>
                <w:lang w:val="el-GR"/>
              </w:rPr>
              <w:t>Αριθμός Μετοχών &amp; Δικαιωμάτων Ψήφου</w:t>
            </w:r>
          </w:p>
        </w:tc>
        <w:tc>
          <w:tcPr>
            <w:tcW w:w="2482" w:type="dxa"/>
            <w:shd w:val="clear" w:color="auto" w:fill="DEEAF6" w:themeFill="accent5" w:themeFillTint="33"/>
          </w:tcPr>
          <w:p w14:paraId="303D59F7" w14:textId="77777777" w:rsidR="00E50563" w:rsidRPr="00CF445B" w:rsidRDefault="00E50563" w:rsidP="002A1F09">
            <w:pPr>
              <w:tabs>
                <w:tab w:val="left" w:pos="142"/>
              </w:tabs>
              <w:jc w:val="center"/>
              <w:rPr>
                <w:rFonts w:asciiTheme="majorHAnsi" w:hAnsiTheme="majorHAnsi" w:cstheme="majorHAnsi"/>
                <w:sz w:val="24"/>
                <w:szCs w:val="24"/>
                <w:lang w:val="el-GR"/>
              </w:rPr>
            </w:pPr>
            <w:r w:rsidRPr="00CF445B">
              <w:rPr>
                <w:rFonts w:asciiTheme="majorHAnsi" w:hAnsiTheme="majorHAnsi" w:cstheme="majorHAnsi"/>
                <w:sz w:val="24"/>
                <w:szCs w:val="24"/>
                <w:lang w:val="el-GR"/>
              </w:rPr>
              <w:t>Ποσοστό δικαιωμάτων ψήφου</w:t>
            </w:r>
          </w:p>
        </w:tc>
      </w:tr>
      <w:tr w:rsidR="00E50563" w:rsidRPr="00CF445B" w14:paraId="62386336" w14:textId="77777777" w:rsidTr="00D13254">
        <w:trPr>
          <w:trHeight w:val="1665"/>
          <w:jc w:val="center"/>
        </w:trPr>
        <w:tc>
          <w:tcPr>
            <w:tcW w:w="2263" w:type="dxa"/>
          </w:tcPr>
          <w:p w14:paraId="7172C4CD" w14:textId="77777777" w:rsidR="00E50563" w:rsidRPr="00CF445B" w:rsidRDefault="00E50563" w:rsidP="000F7C0E">
            <w:pPr>
              <w:tabs>
                <w:tab w:val="left" w:pos="142"/>
              </w:tabs>
              <w:spacing w:after="0"/>
              <w:jc w:val="center"/>
              <w:rPr>
                <w:rFonts w:asciiTheme="majorHAnsi" w:hAnsiTheme="majorHAnsi" w:cstheme="majorHAnsi"/>
                <w:sz w:val="24"/>
                <w:szCs w:val="24"/>
                <w:lang w:val="en-US"/>
              </w:rPr>
            </w:pPr>
            <w:proofErr w:type="spellStart"/>
            <w:r w:rsidRPr="00CF445B">
              <w:rPr>
                <w:rFonts w:asciiTheme="majorHAnsi" w:hAnsiTheme="majorHAnsi" w:cstheme="majorHAnsi"/>
                <w:sz w:val="24"/>
                <w:szCs w:val="24"/>
                <w:lang w:val="el-GR"/>
              </w:rPr>
              <w:t>Σπυριδογεώργης</w:t>
            </w:r>
            <w:proofErr w:type="spellEnd"/>
            <w:r w:rsidRPr="00CF445B">
              <w:rPr>
                <w:rFonts w:asciiTheme="majorHAnsi" w:hAnsiTheme="majorHAnsi" w:cstheme="majorHAnsi"/>
                <w:sz w:val="24"/>
                <w:szCs w:val="24"/>
                <w:lang w:val="el-GR"/>
              </w:rPr>
              <w:t xml:space="preserve"> Βυζάντιος του Χρήστου</w:t>
            </w:r>
          </w:p>
        </w:tc>
        <w:tc>
          <w:tcPr>
            <w:tcW w:w="2049" w:type="dxa"/>
          </w:tcPr>
          <w:p w14:paraId="5AF4D166" w14:textId="637F1753" w:rsidR="00E50563" w:rsidRPr="00432AAC" w:rsidRDefault="00E50563" w:rsidP="000F7C0E">
            <w:pPr>
              <w:tabs>
                <w:tab w:val="left" w:pos="142"/>
              </w:tabs>
              <w:spacing w:after="0"/>
              <w:jc w:val="center"/>
              <w:rPr>
                <w:rFonts w:asciiTheme="majorHAnsi" w:hAnsiTheme="majorHAnsi" w:cstheme="majorHAnsi"/>
                <w:sz w:val="24"/>
                <w:szCs w:val="24"/>
                <w:lang w:val="el-GR"/>
              </w:rPr>
            </w:pPr>
            <w:r w:rsidRPr="00CF445B">
              <w:rPr>
                <w:rFonts w:asciiTheme="majorHAnsi" w:hAnsiTheme="majorHAnsi" w:cstheme="majorHAnsi"/>
                <w:sz w:val="24"/>
                <w:szCs w:val="24"/>
                <w:lang w:val="el-GR"/>
              </w:rPr>
              <w:t>Πρόεδρος και Διευθύνων Σύμβουλος</w:t>
            </w:r>
            <w:r w:rsidR="00432AAC" w:rsidRPr="00432AAC">
              <w:rPr>
                <w:rFonts w:asciiTheme="majorHAnsi" w:hAnsiTheme="majorHAnsi" w:cstheme="majorHAnsi"/>
                <w:sz w:val="24"/>
                <w:szCs w:val="24"/>
                <w:lang w:val="el-GR"/>
              </w:rPr>
              <w:t xml:space="preserve"> </w:t>
            </w:r>
            <w:r w:rsidR="00432AAC">
              <w:rPr>
                <w:rFonts w:asciiTheme="majorHAnsi" w:hAnsiTheme="majorHAnsi" w:cstheme="majorHAnsi"/>
                <w:sz w:val="24"/>
                <w:szCs w:val="24"/>
                <w:lang w:val="el-GR"/>
              </w:rPr>
              <w:t>–</w:t>
            </w:r>
            <w:r w:rsidR="00432AAC" w:rsidRPr="00432AAC">
              <w:rPr>
                <w:rFonts w:asciiTheme="majorHAnsi" w:hAnsiTheme="majorHAnsi" w:cstheme="majorHAnsi"/>
                <w:sz w:val="24"/>
                <w:szCs w:val="24"/>
                <w:lang w:val="el-GR"/>
              </w:rPr>
              <w:t xml:space="preserve"> </w:t>
            </w:r>
            <w:r w:rsidR="00432AAC">
              <w:rPr>
                <w:rFonts w:asciiTheme="majorHAnsi" w:hAnsiTheme="majorHAnsi" w:cstheme="majorHAnsi"/>
                <w:sz w:val="24"/>
                <w:szCs w:val="24"/>
                <w:lang w:val="el-GR"/>
              </w:rPr>
              <w:t>Εκτελεστικό Μέλος</w:t>
            </w:r>
          </w:p>
        </w:tc>
        <w:tc>
          <w:tcPr>
            <w:tcW w:w="2072" w:type="dxa"/>
          </w:tcPr>
          <w:p w14:paraId="7D1229AA" w14:textId="77777777" w:rsidR="00E50563" w:rsidRPr="00CF445B" w:rsidRDefault="00E50563" w:rsidP="002A1F09">
            <w:pPr>
              <w:tabs>
                <w:tab w:val="left" w:pos="142"/>
              </w:tabs>
              <w:jc w:val="center"/>
              <w:rPr>
                <w:rFonts w:asciiTheme="majorHAnsi" w:hAnsiTheme="majorHAnsi" w:cstheme="majorHAnsi"/>
                <w:sz w:val="24"/>
                <w:szCs w:val="24"/>
                <w:lang w:val="en-US"/>
              </w:rPr>
            </w:pPr>
            <w:r w:rsidRPr="00CF445B">
              <w:rPr>
                <w:rFonts w:asciiTheme="majorHAnsi" w:hAnsiTheme="majorHAnsi" w:cstheme="majorHAnsi"/>
                <w:sz w:val="24"/>
                <w:szCs w:val="24"/>
                <w:lang w:val="el-GR"/>
              </w:rPr>
              <w:t>4.414.080</w:t>
            </w:r>
          </w:p>
        </w:tc>
        <w:tc>
          <w:tcPr>
            <w:tcW w:w="2482" w:type="dxa"/>
          </w:tcPr>
          <w:p w14:paraId="3CD56960" w14:textId="77777777" w:rsidR="00E50563" w:rsidRPr="00CF445B" w:rsidRDefault="00E50563" w:rsidP="002A1F09">
            <w:pPr>
              <w:tabs>
                <w:tab w:val="left" w:pos="142"/>
              </w:tabs>
              <w:jc w:val="center"/>
              <w:rPr>
                <w:rFonts w:asciiTheme="majorHAnsi" w:hAnsiTheme="majorHAnsi" w:cstheme="majorHAnsi"/>
                <w:sz w:val="24"/>
                <w:szCs w:val="24"/>
                <w:lang w:val="en-US"/>
              </w:rPr>
            </w:pPr>
            <w:r w:rsidRPr="00CF445B">
              <w:rPr>
                <w:rFonts w:asciiTheme="majorHAnsi" w:hAnsiTheme="majorHAnsi" w:cstheme="majorHAnsi"/>
                <w:sz w:val="24"/>
                <w:szCs w:val="24"/>
                <w:lang w:val="el-GR"/>
              </w:rPr>
              <w:t>27,909%</w:t>
            </w:r>
          </w:p>
        </w:tc>
      </w:tr>
      <w:tr w:rsidR="00E50563" w:rsidRPr="00CF445B" w14:paraId="3CB0098D" w14:textId="77777777" w:rsidTr="00D13254">
        <w:trPr>
          <w:jc w:val="center"/>
        </w:trPr>
        <w:tc>
          <w:tcPr>
            <w:tcW w:w="2263" w:type="dxa"/>
          </w:tcPr>
          <w:p w14:paraId="2842F891" w14:textId="77777777" w:rsidR="00E50563" w:rsidRPr="00CF445B" w:rsidRDefault="00E50563" w:rsidP="000F7C0E">
            <w:pPr>
              <w:tabs>
                <w:tab w:val="left" w:pos="142"/>
              </w:tabs>
              <w:spacing w:after="0"/>
              <w:jc w:val="center"/>
              <w:rPr>
                <w:rFonts w:asciiTheme="majorHAnsi" w:hAnsiTheme="majorHAnsi" w:cstheme="majorHAnsi"/>
                <w:sz w:val="24"/>
                <w:szCs w:val="24"/>
                <w:lang w:val="el-GR"/>
              </w:rPr>
            </w:pPr>
            <w:r w:rsidRPr="00CF445B">
              <w:rPr>
                <w:rFonts w:asciiTheme="majorHAnsi" w:hAnsiTheme="majorHAnsi" w:cstheme="majorHAnsi"/>
                <w:sz w:val="24"/>
                <w:szCs w:val="24"/>
                <w:lang w:val="el-GR"/>
              </w:rPr>
              <w:t>Νικολίτσα Βυζαντίου του Βασιλείου</w:t>
            </w:r>
          </w:p>
        </w:tc>
        <w:tc>
          <w:tcPr>
            <w:tcW w:w="2049" w:type="dxa"/>
          </w:tcPr>
          <w:p w14:paraId="2C46A65F" w14:textId="18DA2549" w:rsidR="00E50563" w:rsidRPr="00CF445B" w:rsidRDefault="00432AAC" w:rsidP="000F7C0E">
            <w:pPr>
              <w:tabs>
                <w:tab w:val="left" w:pos="142"/>
              </w:tabs>
              <w:spacing w:after="0"/>
              <w:jc w:val="center"/>
              <w:rPr>
                <w:rFonts w:asciiTheme="majorHAnsi" w:hAnsiTheme="majorHAnsi" w:cstheme="majorHAnsi"/>
                <w:sz w:val="24"/>
                <w:szCs w:val="24"/>
                <w:lang w:val="el-GR"/>
              </w:rPr>
            </w:pPr>
            <w:r>
              <w:rPr>
                <w:rFonts w:asciiTheme="majorHAnsi" w:hAnsiTheme="majorHAnsi" w:cstheme="majorHAnsi"/>
                <w:sz w:val="24"/>
                <w:szCs w:val="24"/>
                <w:lang w:val="el-GR"/>
              </w:rPr>
              <w:t xml:space="preserve">Εκτελεστικό </w:t>
            </w:r>
            <w:r w:rsidR="00E50563" w:rsidRPr="00CF445B">
              <w:rPr>
                <w:rFonts w:asciiTheme="majorHAnsi" w:hAnsiTheme="majorHAnsi" w:cstheme="majorHAnsi"/>
                <w:sz w:val="24"/>
                <w:szCs w:val="24"/>
                <w:lang w:val="el-GR"/>
              </w:rPr>
              <w:t>Μέλος ΔΣ</w:t>
            </w:r>
          </w:p>
        </w:tc>
        <w:tc>
          <w:tcPr>
            <w:tcW w:w="2072" w:type="dxa"/>
          </w:tcPr>
          <w:p w14:paraId="2D69603B" w14:textId="77777777" w:rsidR="00E50563" w:rsidRPr="00CF445B" w:rsidRDefault="00E50563" w:rsidP="002A1F09">
            <w:pPr>
              <w:tabs>
                <w:tab w:val="left" w:pos="142"/>
              </w:tabs>
              <w:jc w:val="center"/>
              <w:rPr>
                <w:rFonts w:asciiTheme="majorHAnsi" w:hAnsiTheme="majorHAnsi" w:cstheme="majorHAnsi"/>
                <w:sz w:val="24"/>
                <w:szCs w:val="24"/>
                <w:lang w:val="el-GR"/>
              </w:rPr>
            </w:pPr>
            <w:r w:rsidRPr="00CF445B">
              <w:rPr>
                <w:rFonts w:asciiTheme="majorHAnsi" w:hAnsiTheme="majorHAnsi" w:cstheme="majorHAnsi"/>
                <w:sz w:val="24"/>
                <w:szCs w:val="24"/>
                <w:lang w:val="el-GR"/>
              </w:rPr>
              <w:t>2.080.275</w:t>
            </w:r>
          </w:p>
        </w:tc>
        <w:tc>
          <w:tcPr>
            <w:tcW w:w="2482" w:type="dxa"/>
          </w:tcPr>
          <w:p w14:paraId="3E9D897B" w14:textId="77777777" w:rsidR="00E50563" w:rsidRPr="00CF445B" w:rsidRDefault="00E50563" w:rsidP="002A1F09">
            <w:pPr>
              <w:tabs>
                <w:tab w:val="left" w:pos="142"/>
              </w:tabs>
              <w:jc w:val="center"/>
              <w:rPr>
                <w:rFonts w:asciiTheme="majorHAnsi" w:hAnsiTheme="majorHAnsi" w:cstheme="majorHAnsi"/>
                <w:sz w:val="24"/>
                <w:szCs w:val="24"/>
                <w:lang w:val="el-GR"/>
              </w:rPr>
            </w:pPr>
            <w:r w:rsidRPr="00CF445B">
              <w:rPr>
                <w:rFonts w:asciiTheme="majorHAnsi" w:hAnsiTheme="majorHAnsi" w:cstheme="majorHAnsi"/>
                <w:sz w:val="24"/>
                <w:szCs w:val="24"/>
                <w:lang w:val="el-GR"/>
              </w:rPr>
              <w:t>13,153%</w:t>
            </w:r>
          </w:p>
        </w:tc>
      </w:tr>
      <w:tr w:rsidR="00432AAC" w:rsidRPr="00CF445B" w14:paraId="76E34229" w14:textId="77777777" w:rsidTr="00D13254">
        <w:trPr>
          <w:jc w:val="center"/>
        </w:trPr>
        <w:tc>
          <w:tcPr>
            <w:tcW w:w="2263" w:type="dxa"/>
          </w:tcPr>
          <w:p w14:paraId="4EB00E26" w14:textId="1C5A829F" w:rsidR="00432AAC" w:rsidRPr="00CF445B" w:rsidRDefault="00432AAC" w:rsidP="000F7C0E">
            <w:pPr>
              <w:tabs>
                <w:tab w:val="left" w:pos="142"/>
              </w:tabs>
              <w:spacing w:after="0"/>
              <w:jc w:val="center"/>
              <w:rPr>
                <w:rFonts w:asciiTheme="majorHAnsi" w:hAnsiTheme="majorHAnsi" w:cstheme="majorHAnsi"/>
                <w:sz w:val="24"/>
                <w:szCs w:val="24"/>
                <w:lang w:val="el-GR"/>
              </w:rPr>
            </w:pPr>
            <w:proofErr w:type="spellStart"/>
            <w:r w:rsidRPr="008752D2">
              <w:rPr>
                <w:rFonts w:asciiTheme="majorHAnsi" w:hAnsiTheme="majorHAnsi" w:cstheme="majorHAnsi"/>
                <w:sz w:val="24"/>
                <w:szCs w:val="24"/>
                <w:lang w:val="el-GR"/>
              </w:rPr>
              <w:lastRenderedPageBreak/>
              <w:t>Βραδής</w:t>
            </w:r>
            <w:proofErr w:type="spellEnd"/>
            <w:r w:rsidRPr="008752D2">
              <w:rPr>
                <w:rFonts w:asciiTheme="majorHAnsi" w:hAnsiTheme="majorHAnsi" w:cstheme="majorHAnsi"/>
                <w:sz w:val="24"/>
                <w:szCs w:val="24"/>
                <w:lang w:val="el-GR"/>
              </w:rPr>
              <w:t xml:space="preserve"> Ιωάννης του Αντωνίου</w:t>
            </w:r>
          </w:p>
        </w:tc>
        <w:tc>
          <w:tcPr>
            <w:tcW w:w="2049" w:type="dxa"/>
          </w:tcPr>
          <w:p w14:paraId="531BB5B9" w14:textId="5751DE3C" w:rsidR="00432AAC" w:rsidRPr="00CF445B" w:rsidRDefault="00432AAC" w:rsidP="000F7C0E">
            <w:pPr>
              <w:tabs>
                <w:tab w:val="left" w:pos="142"/>
              </w:tabs>
              <w:spacing w:after="0"/>
              <w:jc w:val="center"/>
              <w:rPr>
                <w:rFonts w:asciiTheme="majorHAnsi" w:hAnsiTheme="majorHAnsi" w:cstheme="majorHAnsi"/>
                <w:sz w:val="24"/>
                <w:szCs w:val="24"/>
                <w:lang w:val="el-GR"/>
              </w:rPr>
            </w:pPr>
            <w:r w:rsidRPr="008752D2">
              <w:rPr>
                <w:rFonts w:asciiTheme="majorHAnsi" w:hAnsiTheme="majorHAnsi" w:cstheme="majorHAnsi"/>
                <w:sz w:val="24"/>
                <w:szCs w:val="24"/>
                <w:lang w:val="el-GR"/>
              </w:rPr>
              <w:t>Αντιπρόεδρος – Ανεξάρτητο Μη Εκτελεστικό Μέλος</w:t>
            </w:r>
          </w:p>
        </w:tc>
        <w:tc>
          <w:tcPr>
            <w:tcW w:w="2072" w:type="dxa"/>
          </w:tcPr>
          <w:p w14:paraId="691765F4" w14:textId="7AC780C8" w:rsidR="00432AAC" w:rsidRPr="00CF445B" w:rsidRDefault="00432AAC" w:rsidP="002A1F09">
            <w:pPr>
              <w:tabs>
                <w:tab w:val="left" w:pos="142"/>
              </w:tabs>
              <w:jc w:val="center"/>
              <w:rPr>
                <w:rFonts w:asciiTheme="majorHAnsi" w:hAnsiTheme="majorHAnsi" w:cstheme="majorHAnsi"/>
                <w:sz w:val="24"/>
                <w:szCs w:val="24"/>
                <w:lang w:val="el-GR"/>
              </w:rPr>
            </w:pPr>
            <w:r w:rsidRPr="008752D2">
              <w:rPr>
                <w:rFonts w:asciiTheme="majorHAnsi" w:hAnsiTheme="majorHAnsi" w:cstheme="majorHAnsi"/>
                <w:sz w:val="24"/>
                <w:szCs w:val="24"/>
                <w:lang w:val="el-GR"/>
              </w:rPr>
              <w:t>6.595</w:t>
            </w:r>
          </w:p>
        </w:tc>
        <w:tc>
          <w:tcPr>
            <w:tcW w:w="2482" w:type="dxa"/>
          </w:tcPr>
          <w:p w14:paraId="41AF231F" w14:textId="52A46274" w:rsidR="00432AAC" w:rsidRPr="00CF445B" w:rsidRDefault="00432AAC" w:rsidP="002A1F09">
            <w:pPr>
              <w:tabs>
                <w:tab w:val="left" w:pos="142"/>
              </w:tabs>
              <w:jc w:val="center"/>
              <w:rPr>
                <w:rFonts w:asciiTheme="majorHAnsi" w:hAnsiTheme="majorHAnsi" w:cstheme="majorHAnsi"/>
                <w:sz w:val="24"/>
                <w:szCs w:val="24"/>
                <w:lang w:val="el-GR"/>
              </w:rPr>
            </w:pPr>
            <w:r w:rsidRPr="008752D2">
              <w:rPr>
                <w:rFonts w:asciiTheme="majorHAnsi" w:hAnsiTheme="majorHAnsi" w:cstheme="majorHAnsi"/>
                <w:sz w:val="24"/>
                <w:szCs w:val="24"/>
                <w:lang w:val="el-GR"/>
              </w:rPr>
              <w:t>0,042%</w:t>
            </w:r>
          </w:p>
        </w:tc>
      </w:tr>
      <w:tr w:rsidR="00432AAC" w:rsidRPr="00CF445B" w14:paraId="2C1874E9" w14:textId="77777777" w:rsidTr="00D13254">
        <w:trPr>
          <w:jc w:val="center"/>
        </w:trPr>
        <w:tc>
          <w:tcPr>
            <w:tcW w:w="2263" w:type="dxa"/>
          </w:tcPr>
          <w:p w14:paraId="34B88737" w14:textId="36E7594D" w:rsidR="00432AAC" w:rsidRPr="00CF445B" w:rsidRDefault="00432AAC" w:rsidP="000F7C0E">
            <w:pPr>
              <w:tabs>
                <w:tab w:val="left" w:pos="142"/>
              </w:tabs>
              <w:spacing w:after="0"/>
              <w:jc w:val="center"/>
              <w:rPr>
                <w:rFonts w:asciiTheme="majorHAnsi" w:hAnsiTheme="majorHAnsi" w:cstheme="majorHAnsi"/>
                <w:sz w:val="24"/>
                <w:szCs w:val="24"/>
                <w:lang w:val="el-GR"/>
              </w:rPr>
            </w:pPr>
            <w:r w:rsidRPr="008752D2">
              <w:rPr>
                <w:rFonts w:asciiTheme="majorHAnsi" w:hAnsiTheme="majorHAnsi" w:cstheme="majorHAnsi"/>
                <w:sz w:val="24"/>
                <w:szCs w:val="24"/>
                <w:lang w:val="el-GR"/>
              </w:rPr>
              <w:t>Λυμπερόπουλος Βασίλης του Παρασκευά</w:t>
            </w:r>
          </w:p>
        </w:tc>
        <w:tc>
          <w:tcPr>
            <w:tcW w:w="2049" w:type="dxa"/>
          </w:tcPr>
          <w:p w14:paraId="26282106" w14:textId="67DF4785" w:rsidR="00432AAC" w:rsidRPr="00CF445B" w:rsidRDefault="00432AAC" w:rsidP="002A1F09">
            <w:pPr>
              <w:tabs>
                <w:tab w:val="left" w:pos="142"/>
              </w:tabs>
              <w:jc w:val="center"/>
              <w:rPr>
                <w:rFonts w:asciiTheme="majorHAnsi" w:hAnsiTheme="majorHAnsi" w:cstheme="majorHAnsi"/>
                <w:sz w:val="24"/>
                <w:szCs w:val="24"/>
                <w:lang w:val="el-GR"/>
              </w:rPr>
            </w:pPr>
            <w:r w:rsidRPr="008752D2">
              <w:rPr>
                <w:rFonts w:asciiTheme="majorHAnsi" w:hAnsiTheme="majorHAnsi" w:cstheme="majorHAnsi"/>
                <w:sz w:val="24"/>
                <w:szCs w:val="24"/>
                <w:lang w:val="el-GR"/>
              </w:rPr>
              <w:t>Μη Εκτελεστικό Μέλος</w:t>
            </w:r>
          </w:p>
        </w:tc>
        <w:tc>
          <w:tcPr>
            <w:tcW w:w="2072" w:type="dxa"/>
          </w:tcPr>
          <w:p w14:paraId="6C87A710" w14:textId="5C6FC31F" w:rsidR="00432AAC" w:rsidRPr="00CF445B" w:rsidRDefault="00432AAC" w:rsidP="002A1F09">
            <w:pPr>
              <w:tabs>
                <w:tab w:val="left" w:pos="142"/>
              </w:tabs>
              <w:jc w:val="center"/>
              <w:rPr>
                <w:rFonts w:asciiTheme="majorHAnsi" w:hAnsiTheme="majorHAnsi" w:cstheme="majorHAnsi"/>
                <w:sz w:val="24"/>
                <w:szCs w:val="24"/>
                <w:lang w:val="el-GR"/>
              </w:rPr>
            </w:pPr>
            <w:r w:rsidRPr="008752D2">
              <w:rPr>
                <w:rFonts w:asciiTheme="majorHAnsi" w:hAnsiTheme="majorHAnsi" w:cstheme="majorHAnsi"/>
                <w:sz w:val="24"/>
                <w:szCs w:val="24"/>
                <w:lang w:val="el-GR"/>
              </w:rPr>
              <w:t>5.500</w:t>
            </w:r>
          </w:p>
        </w:tc>
        <w:tc>
          <w:tcPr>
            <w:tcW w:w="2482" w:type="dxa"/>
          </w:tcPr>
          <w:p w14:paraId="2B210062" w14:textId="4230C32C" w:rsidR="00432AAC" w:rsidRPr="00CF445B" w:rsidRDefault="00F10D3D" w:rsidP="002A1F09">
            <w:pPr>
              <w:tabs>
                <w:tab w:val="left" w:pos="142"/>
              </w:tabs>
              <w:jc w:val="center"/>
              <w:rPr>
                <w:rFonts w:asciiTheme="majorHAnsi" w:hAnsiTheme="majorHAnsi" w:cstheme="majorHAnsi"/>
                <w:sz w:val="24"/>
                <w:szCs w:val="24"/>
                <w:lang w:val="el-GR"/>
              </w:rPr>
            </w:pPr>
            <w:r w:rsidRPr="008752D2">
              <w:rPr>
                <w:rFonts w:asciiTheme="majorHAnsi" w:hAnsiTheme="majorHAnsi" w:cstheme="majorHAnsi"/>
                <w:sz w:val="24"/>
                <w:szCs w:val="24"/>
                <w:lang w:val="el-GR"/>
              </w:rPr>
              <w:t>0,035%</w:t>
            </w:r>
          </w:p>
        </w:tc>
      </w:tr>
      <w:tr w:rsidR="00432AAC" w:rsidRPr="00CF445B" w14:paraId="0C0EAE98" w14:textId="77777777" w:rsidTr="00D13254">
        <w:trPr>
          <w:jc w:val="center"/>
        </w:trPr>
        <w:tc>
          <w:tcPr>
            <w:tcW w:w="2263" w:type="dxa"/>
          </w:tcPr>
          <w:p w14:paraId="535C9241" w14:textId="7A5ABA7C" w:rsidR="00432AAC" w:rsidRPr="00CF445B" w:rsidRDefault="00432AAC" w:rsidP="000F7C0E">
            <w:pPr>
              <w:tabs>
                <w:tab w:val="left" w:pos="142"/>
              </w:tabs>
              <w:spacing w:after="0"/>
              <w:jc w:val="center"/>
              <w:rPr>
                <w:rFonts w:asciiTheme="majorHAnsi" w:hAnsiTheme="majorHAnsi" w:cstheme="majorHAnsi"/>
                <w:sz w:val="24"/>
                <w:szCs w:val="24"/>
                <w:lang w:val="el-GR"/>
              </w:rPr>
            </w:pPr>
            <w:r w:rsidRPr="008752D2">
              <w:rPr>
                <w:rFonts w:asciiTheme="majorHAnsi" w:hAnsiTheme="majorHAnsi" w:cstheme="majorHAnsi"/>
                <w:sz w:val="24"/>
                <w:szCs w:val="24"/>
                <w:lang w:val="el-GR"/>
              </w:rPr>
              <w:t xml:space="preserve">Φωτεινόπουλος </w:t>
            </w:r>
            <w:proofErr w:type="spellStart"/>
            <w:r w:rsidRPr="008752D2">
              <w:rPr>
                <w:rFonts w:asciiTheme="majorHAnsi" w:hAnsiTheme="majorHAnsi" w:cstheme="majorHAnsi"/>
                <w:sz w:val="24"/>
                <w:szCs w:val="24"/>
                <w:lang w:val="el-GR"/>
              </w:rPr>
              <w:t>Κωνσταντίντος</w:t>
            </w:r>
            <w:proofErr w:type="spellEnd"/>
            <w:r w:rsidRPr="008752D2">
              <w:rPr>
                <w:rFonts w:asciiTheme="majorHAnsi" w:hAnsiTheme="majorHAnsi" w:cstheme="majorHAnsi"/>
                <w:sz w:val="24"/>
                <w:szCs w:val="24"/>
                <w:lang w:val="el-GR"/>
              </w:rPr>
              <w:t xml:space="preserve"> του Πανάγου</w:t>
            </w:r>
          </w:p>
        </w:tc>
        <w:tc>
          <w:tcPr>
            <w:tcW w:w="2049" w:type="dxa"/>
          </w:tcPr>
          <w:p w14:paraId="216399F6" w14:textId="05B129F3" w:rsidR="00432AAC" w:rsidRPr="00CF445B" w:rsidRDefault="00432AAC" w:rsidP="002A1F09">
            <w:pPr>
              <w:tabs>
                <w:tab w:val="left" w:pos="142"/>
              </w:tabs>
              <w:jc w:val="center"/>
              <w:rPr>
                <w:rFonts w:asciiTheme="majorHAnsi" w:hAnsiTheme="majorHAnsi" w:cstheme="majorHAnsi"/>
                <w:sz w:val="24"/>
                <w:szCs w:val="24"/>
                <w:lang w:val="el-GR"/>
              </w:rPr>
            </w:pPr>
            <w:r w:rsidRPr="008752D2">
              <w:rPr>
                <w:rFonts w:asciiTheme="majorHAnsi" w:hAnsiTheme="majorHAnsi" w:cstheme="majorHAnsi"/>
                <w:sz w:val="24"/>
                <w:szCs w:val="24"/>
                <w:lang w:val="el-GR"/>
              </w:rPr>
              <w:t>Μη Εκτελεστικό Μέλος</w:t>
            </w:r>
          </w:p>
        </w:tc>
        <w:tc>
          <w:tcPr>
            <w:tcW w:w="2072" w:type="dxa"/>
          </w:tcPr>
          <w:p w14:paraId="05163DC0" w14:textId="78A30F57" w:rsidR="00432AAC" w:rsidRPr="00CF445B" w:rsidRDefault="00432AAC" w:rsidP="002A1F09">
            <w:pPr>
              <w:tabs>
                <w:tab w:val="left" w:pos="142"/>
              </w:tabs>
              <w:jc w:val="center"/>
              <w:rPr>
                <w:rFonts w:asciiTheme="majorHAnsi" w:hAnsiTheme="majorHAnsi" w:cstheme="majorHAnsi"/>
                <w:sz w:val="24"/>
                <w:szCs w:val="24"/>
                <w:lang w:val="el-GR"/>
              </w:rPr>
            </w:pPr>
            <w:r w:rsidRPr="008752D2">
              <w:rPr>
                <w:rFonts w:asciiTheme="majorHAnsi" w:hAnsiTheme="majorHAnsi" w:cstheme="majorHAnsi"/>
                <w:sz w:val="24"/>
                <w:szCs w:val="24"/>
                <w:lang w:val="el-GR"/>
              </w:rPr>
              <w:t>3.390</w:t>
            </w:r>
          </w:p>
        </w:tc>
        <w:tc>
          <w:tcPr>
            <w:tcW w:w="2482" w:type="dxa"/>
          </w:tcPr>
          <w:p w14:paraId="414B97E3" w14:textId="2290620F" w:rsidR="00432AAC" w:rsidRPr="00CF445B" w:rsidRDefault="00432AAC" w:rsidP="002A1F09">
            <w:pPr>
              <w:tabs>
                <w:tab w:val="left" w:pos="142"/>
              </w:tabs>
              <w:jc w:val="center"/>
              <w:rPr>
                <w:rFonts w:asciiTheme="majorHAnsi" w:hAnsiTheme="majorHAnsi" w:cstheme="majorHAnsi"/>
                <w:sz w:val="24"/>
                <w:szCs w:val="24"/>
                <w:lang w:val="el-GR"/>
              </w:rPr>
            </w:pPr>
            <w:r w:rsidRPr="008752D2">
              <w:rPr>
                <w:rFonts w:asciiTheme="majorHAnsi" w:hAnsiTheme="majorHAnsi" w:cstheme="majorHAnsi"/>
                <w:sz w:val="24"/>
                <w:szCs w:val="24"/>
                <w:lang w:val="el-GR"/>
              </w:rPr>
              <w:t>0,021%</w:t>
            </w:r>
          </w:p>
        </w:tc>
      </w:tr>
      <w:tr w:rsidR="00F10D3D" w14:paraId="691E279E" w14:textId="77777777" w:rsidTr="00D13254">
        <w:trPr>
          <w:jc w:val="center"/>
        </w:trPr>
        <w:tc>
          <w:tcPr>
            <w:tcW w:w="2263" w:type="dxa"/>
          </w:tcPr>
          <w:p w14:paraId="4644F4E2" w14:textId="3A3BEB64" w:rsidR="00F10D3D" w:rsidRPr="008752D2" w:rsidRDefault="00F10D3D" w:rsidP="000F7C0E">
            <w:pPr>
              <w:tabs>
                <w:tab w:val="left" w:pos="142"/>
              </w:tabs>
              <w:spacing w:after="0"/>
              <w:jc w:val="center"/>
              <w:rPr>
                <w:rFonts w:asciiTheme="majorHAnsi" w:hAnsiTheme="majorHAnsi" w:cstheme="majorHAnsi"/>
                <w:sz w:val="24"/>
                <w:szCs w:val="24"/>
                <w:lang w:val="el-GR"/>
              </w:rPr>
            </w:pPr>
            <w:r w:rsidRPr="008752D2">
              <w:rPr>
                <w:rFonts w:asciiTheme="majorHAnsi" w:hAnsiTheme="majorHAnsi" w:cstheme="majorHAnsi"/>
                <w:sz w:val="24"/>
                <w:szCs w:val="24"/>
                <w:lang w:val="el-GR"/>
              </w:rPr>
              <w:t>Λούη Αναστασία του Θεοφάνη</w:t>
            </w:r>
          </w:p>
        </w:tc>
        <w:tc>
          <w:tcPr>
            <w:tcW w:w="2049" w:type="dxa"/>
          </w:tcPr>
          <w:p w14:paraId="5E735F03" w14:textId="27C21B3E" w:rsidR="00F10D3D" w:rsidRPr="008752D2" w:rsidRDefault="00F10D3D" w:rsidP="000F7C0E">
            <w:pPr>
              <w:tabs>
                <w:tab w:val="left" w:pos="142"/>
              </w:tabs>
              <w:spacing w:after="0"/>
              <w:jc w:val="center"/>
              <w:rPr>
                <w:rFonts w:asciiTheme="majorHAnsi" w:hAnsiTheme="majorHAnsi" w:cstheme="majorHAnsi"/>
                <w:sz w:val="24"/>
                <w:szCs w:val="24"/>
                <w:lang w:val="el-GR"/>
              </w:rPr>
            </w:pPr>
            <w:r w:rsidRPr="008752D2">
              <w:rPr>
                <w:rFonts w:asciiTheme="majorHAnsi" w:hAnsiTheme="majorHAnsi" w:cstheme="majorHAnsi"/>
                <w:sz w:val="24"/>
                <w:szCs w:val="24"/>
                <w:lang w:val="el-GR"/>
              </w:rPr>
              <w:t>Μη Εκτελεστικό Μέλος</w:t>
            </w:r>
          </w:p>
        </w:tc>
        <w:tc>
          <w:tcPr>
            <w:tcW w:w="2072" w:type="dxa"/>
          </w:tcPr>
          <w:p w14:paraId="0B10D8EC" w14:textId="5C9BF10A" w:rsidR="00F10D3D" w:rsidRPr="008752D2" w:rsidRDefault="00F10D3D" w:rsidP="002A1F09">
            <w:pPr>
              <w:tabs>
                <w:tab w:val="left" w:pos="142"/>
              </w:tabs>
              <w:jc w:val="center"/>
              <w:rPr>
                <w:rFonts w:asciiTheme="majorHAnsi" w:hAnsiTheme="majorHAnsi" w:cstheme="majorHAnsi"/>
                <w:sz w:val="24"/>
                <w:szCs w:val="24"/>
                <w:lang w:val="el-GR"/>
              </w:rPr>
            </w:pPr>
            <w:r w:rsidRPr="008752D2">
              <w:rPr>
                <w:rFonts w:asciiTheme="majorHAnsi" w:hAnsiTheme="majorHAnsi" w:cstheme="majorHAnsi"/>
                <w:sz w:val="24"/>
                <w:szCs w:val="24"/>
                <w:lang w:val="el-GR"/>
              </w:rPr>
              <w:t>3.000</w:t>
            </w:r>
          </w:p>
        </w:tc>
        <w:tc>
          <w:tcPr>
            <w:tcW w:w="2482" w:type="dxa"/>
          </w:tcPr>
          <w:p w14:paraId="205E9F9E" w14:textId="657AEC77" w:rsidR="00F10D3D" w:rsidRPr="008752D2" w:rsidRDefault="00F10D3D" w:rsidP="002A1F09">
            <w:pPr>
              <w:tabs>
                <w:tab w:val="left" w:pos="142"/>
              </w:tabs>
              <w:jc w:val="center"/>
              <w:rPr>
                <w:rFonts w:asciiTheme="majorHAnsi" w:hAnsiTheme="majorHAnsi" w:cstheme="majorHAnsi"/>
                <w:sz w:val="24"/>
                <w:szCs w:val="24"/>
                <w:lang w:val="el-GR"/>
              </w:rPr>
            </w:pPr>
            <w:r w:rsidRPr="008752D2">
              <w:rPr>
                <w:rFonts w:asciiTheme="majorHAnsi" w:hAnsiTheme="majorHAnsi" w:cstheme="majorHAnsi"/>
                <w:sz w:val="24"/>
                <w:szCs w:val="24"/>
                <w:lang w:val="el-GR"/>
              </w:rPr>
              <w:t>0,019%</w:t>
            </w:r>
          </w:p>
        </w:tc>
      </w:tr>
    </w:tbl>
    <w:p w14:paraId="486B4635" w14:textId="77777777" w:rsidR="00E50563" w:rsidRPr="00CF445B" w:rsidRDefault="00E50563" w:rsidP="00E50563">
      <w:pPr>
        <w:tabs>
          <w:tab w:val="left" w:pos="142"/>
        </w:tabs>
        <w:spacing w:after="0" w:line="240" w:lineRule="auto"/>
        <w:jc w:val="both"/>
        <w:rPr>
          <w:rFonts w:asciiTheme="majorHAnsi" w:hAnsiTheme="majorHAnsi" w:cstheme="majorHAnsi"/>
          <w:sz w:val="24"/>
          <w:szCs w:val="24"/>
          <w:lang w:val="en-US"/>
        </w:rPr>
      </w:pPr>
    </w:p>
    <w:p w14:paraId="56712CE1" w14:textId="77777777" w:rsidR="00E50563" w:rsidRPr="00CF445B" w:rsidRDefault="00E50563" w:rsidP="00E50563">
      <w:pPr>
        <w:pStyle w:val="NoSpacing"/>
        <w:jc w:val="both"/>
        <w:rPr>
          <w:rStyle w:val="IntenseEmphasis"/>
          <w:rFonts w:asciiTheme="majorHAnsi" w:hAnsiTheme="majorHAnsi" w:cstheme="majorHAnsi"/>
          <w:i w:val="0"/>
        </w:rPr>
      </w:pPr>
    </w:p>
    <w:p w14:paraId="4ED39478" w14:textId="77777777" w:rsidR="00E50563" w:rsidRPr="00CF445B" w:rsidRDefault="00E50563" w:rsidP="00E50563">
      <w:pPr>
        <w:pStyle w:val="Heading2"/>
        <w:spacing w:before="0"/>
        <w:jc w:val="both"/>
        <w:rPr>
          <w:rStyle w:val="IntenseEmphasis"/>
          <w:rFonts w:cstheme="majorHAnsi"/>
          <w:b w:val="0"/>
          <w:bCs w:val="0"/>
          <w:i w:val="0"/>
          <w:color w:val="auto"/>
          <w:sz w:val="24"/>
          <w:szCs w:val="24"/>
          <w:lang w:val="el-GR"/>
        </w:rPr>
      </w:pPr>
      <w:bookmarkStart w:id="5" w:name="_Toc111202955"/>
      <w:r w:rsidRPr="00CF445B">
        <w:rPr>
          <w:rStyle w:val="IntenseEmphasis"/>
          <w:rFonts w:cstheme="majorHAnsi"/>
          <w:color w:val="auto"/>
          <w:sz w:val="24"/>
          <w:szCs w:val="24"/>
          <w:lang w:val="el-GR"/>
        </w:rPr>
        <w:t>2.2. Ενέργειες στις οποίες έχει ήδη προβεί ή προτίθεται να προβεί το Διοικητικό Συμβούλιο της Εταιρείας σχετικά με τη Δημόσια Πρόταση (άρθρο 15 παρ. 2 περ. β. του Ν. 3461/2006).</w:t>
      </w:r>
      <w:bookmarkEnd w:id="5"/>
    </w:p>
    <w:p w14:paraId="25F3AC8B" w14:textId="77777777" w:rsidR="00E50563" w:rsidRPr="00CF445B" w:rsidRDefault="00E50563" w:rsidP="00E50563">
      <w:pPr>
        <w:pStyle w:val="NoSpacing"/>
        <w:ind w:firstLine="360"/>
        <w:jc w:val="both"/>
        <w:rPr>
          <w:rFonts w:asciiTheme="majorHAnsi" w:hAnsiTheme="majorHAnsi" w:cstheme="majorHAnsi"/>
        </w:rPr>
      </w:pPr>
    </w:p>
    <w:p w14:paraId="102F0805" w14:textId="77777777" w:rsidR="00E50563" w:rsidRPr="00CF445B" w:rsidRDefault="00E50563" w:rsidP="00E50563">
      <w:pPr>
        <w:pStyle w:val="NoSpacing"/>
        <w:ind w:firstLine="360"/>
        <w:jc w:val="both"/>
        <w:rPr>
          <w:rFonts w:asciiTheme="majorHAnsi" w:hAnsiTheme="majorHAnsi" w:cstheme="majorHAnsi"/>
        </w:rPr>
      </w:pPr>
      <w:r w:rsidRPr="00CF445B">
        <w:rPr>
          <w:rFonts w:asciiTheme="majorHAnsi" w:hAnsiTheme="majorHAnsi" w:cstheme="majorHAnsi"/>
        </w:rPr>
        <w:t>Κατά την ημερομηνία της Ανακοίνωσης της Δημόσιας Πρότασης, την 01.07.2022, τα μέλη του Διοικητικού Συμβουλίου της Εταιρείας ενημερώθηκαν εγγράφως από τον Προτείνοντα για την υποβολή της Δημόσιας Πρότασης και παρέλαβαν αντίγραφο του σχεδίου του Πληροφοριακού Δελτίου, σύμφωνα με το άρθρο 10 παρ. 1 του Ν.3461/2006. Την ίδια ημέρα αναρτήθηκε στον πίνακα ανακοινώσεων της Εταιρείας, με επιμέλεια του Διοικητικού Συμβουλίου, ενημέρωση σχετικά με τη υποβολή της Δημόσιας Πρότασης, προς πληροφόρηση των εργαζομένων της Εταιρείας σύμφωνα με το άρθρο 10 παρ. 3 Ν. 3461/2006.</w:t>
      </w:r>
    </w:p>
    <w:p w14:paraId="77537224" w14:textId="59E368F8" w:rsidR="00E50563" w:rsidRPr="00CF445B" w:rsidRDefault="00E50563" w:rsidP="00E50563">
      <w:pPr>
        <w:pStyle w:val="NoSpacing"/>
        <w:ind w:firstLine="360"/>
        <w:jc w:val="both"/>
        <w:rPr>
          <w:rFonts w:asciiTheme="majorHAnsi" w:hAnsiTheme="majorHAnsi" w:cstheme="majorHAnsi"/>
        </w:rPr>
      </w:pPr>
      <w:r w:rsidRPr="00CF445B">
        <w:rPr>
          <w:rFonts w:asciiTheme="majorHAnsi" w:hAnsiTheme="majorHAnsi" w:cstheme="majorHAnsi"/>
        </w:rPr>
        <w:t xml:space="preserve">Εν συνεχεία, </w:t>
      </w:r>
      <w:r w:rsidR="00D13254">
        <w:rPr>
          <w:rFonts w:asciiTheme="majorHAnsi" w:hAnsiTheme="majorHAnsi" w:cstheme="majorHAnsi"/>
        </w:rPr>
        <w:t>δυνάμει της</w:t>
      </w:r>
      <w:r w:rsidR="00A14AE5" w:rsidRPr="00A14AE5">
        <w:rPr>
          <w:rFonts w:asciiTheme="majorHAnsi" w:hAnsiTheme="majorHAnsi" w:cstheme="majorHAnsi"/>
        </w:rPr>
        <w:t xml:space="preserve"> υπ</w:t>
      </w:r>
      <w:r w:rsidR="008715E7">
        <w:rPr>
          <w:rFonts w:asciiTheme="majorHAnsi" w:hAnsiTheme="majorHAnsi" w:cstheme="majorHAnsi"/>
        </w:rPr>
        <w:t>’</w:t>
      </w:r>
      <w:r w:rsidR="00AD4132">
        <w:rPr>
          <w:rFonts w:asciiTheme="majorHAnsi" w:hAnsiTheme="majorHAnsi" w:cstheme="majorHAnsi"/>
        </w:rPr>
        <w:t xml:space="preserve"> </w:t>
      </w:r>
      <w:proofErr w:type="spellStart"/>
      <w:r w:rsidR="008715E7">
        <w:rPr>
          <w:rFonts w:asciiTheme="majorHAnsi" w:hAnsiTheme="majorHAnsi" w:cstheme="majorHAnsi"/>
        </w:rPr>
        <w:t>αριθμ</w:t>
      </w:r>
      <w:proofErr w:type="spellEnd"/>
      <w:r w:rsidR="008715E7">
        <w:rPr>
          <w:rFonts w:asciiTheme="majorHAnsi" w:hAnsiTheme="majorHAnsi" w:cstheme="majorHAnsi"/>
        </w:rPr>
        <w:t>.</w:t>
      </w:r>
      <w:r w:rsidR="00A14AE5" w:rsidRPr="00A14AE5">
        <w:rPr>
          <w:rFonts w:asciiTheme="majorHAnsi" w:hAnsiTheme="majorHAnsi" w:cstheme="majorHAnsi"/>
        </w:rPr>
        <w:t xml:space="preserve"> </w:t>
      </w:r>
      <w:r w:rsidR="008715E7" w:rsidRPr="00D13254">
        <w:rPr>
          <w:rFonts w:asciiTheme="majorHAnsi" w:hAnsiTheme="majorHAnsi" w:cstheme="majorHAnsi"/>
        </w:rPr>
        <w:t>1831Α/27-07-</w:t>
      </w:r>
      <w:r w:rsidR="008715E7" w:rsidRPr="008715E7">
        <w:rPr>
          <w:rFonts w:asciiTheme="majorHAnsi" w:hAnsiTheme="majorHAnsi" w:cstheme="majorHAnsi"/>
        </w:rPr>
        <w:t>2022</w:t>
      </w:r>
      <w:r w:rsidR="0021007C" w:rsidRPr="0021007C">
        <w:rPr>
          <w:rFonts w:asciiTheme="majorHAnsi" w:hAnsiTheme="majorHAnsi" w:cstheme="majorHAnsi"/>
        </w:rPr>
        <w:t xml:space="preserve"> </w:t>
      </w:r>
      <w:r w:rsidR="00D13254">
        <w:rPr>
          <w:rFonts w:asciiTheme="majorHAnsi" w:hAnsiTheme="majorHAnsi" w:cstheme="majorHAnsi"/>
        </w:rPr>
        <w:t xml:space="preserve">απόφασης του </w:t>
      </w:r>
      <w:r w:rsidRPr="00CF445B">
        <w:rPr>
          <w:rFonts w:asciiTheme="majorHAnsi" w:hAnsiTheme="majorHAnsi" w:cstheme="majorHAnsi"/>
        </w:rPr>
        <w:t>Διοικητικ</w:t>
      </w:r>
      <w:r w:rsidR="00A14AE5">
        <w:rPr>
          <w:rFonts w:asciiTheme="majorHAnsi" w:hAnsiTheme="majorHAnsi" w:cstheme="majorHAnsi"/>
        </w:rPr>
        <w:t>ού</w:t>
      </w:r>
      <w:r w:rsidRPr="00CF445B">
        <w:rPr>
          <w:rFonts w:asciiTheme="majorHAnsi" w:hAnsiTheme="majorHAnsi" w:cstheme="majorHAnsi"/>
        </w:rPr>
        <w:t xml:space="preserve"> Συμβο</w:t>
      </w:r>
      <w:r w:rsidR="00A14AE5">
        <w:rPr>
          <w:rFonts w:asciiTheme="majorHAnsi" w:hAnsiTheme="majorHAnsi" w:cstheme="majorHAnsi"/>
        </w:rPr>
        <w:t>υ</w:t>
      </w:r>
      <w:r w:rsidRPr="00CF445B">
        <w:rPr>
          <w:rFonts w:asciiTheme="majorHAnsi" w:hAnsiTheme="majorHAnsi" w:cstheme="majorHAnsi"/>
        </w:rPr>
        <w:t>λ</w:t>
      </w:r>
      <w:r w:rsidR="00A14AE5">
        <w:rPr>
          <w:rFonts w:asciiTheme="majorHAnsi" w:hAnsiTheme="majorHAnsi" w:cstheme="majorHAnsi"/>
        </w:rPr>
        <w:t>ίου, η Εταιρεία</w:t>
      </w:r>
      <w:r w:rsidRPr="00CF445B">
        <w:rPr>
          <w:rFonts w:asciiTheme="majorHAnsi" w:hAnsiTheme="majorHAnsi" w:cstheme="majorHAnsi"/>
        </w:rPr>
        <w:t xml:space="preserve"> όρισε ως Χρηματοοικονομικό Σύμβουλο, σύμφωνα με το άρθρο 15 </w:t>
      </w:r>
      <w:r w:rsidR="00637991">
        <w:rPr>
          <w:rFonts w:asciiTheme="majorHAnsi" w:hAnsiTheme="majorHAnsi" w:cstheme="majorHAnsi"/>
        </w:rPr>
        <w:t xml:space="preserve">παρ.2 </w:t>
      </w:r>
      <w:r w:rsidRPr="00CF445B">
        <w:rPr>
          <w:rFonts w:asciiTheme="majorHAnsi" w:hAnsiTheme="majorHAnsi" w:cstheme="majorHAnsi"/>
        </w:rPr>
        <w:t>του Ν.3461/2006, την Τράπεζα «</w:t>
      </w:r>
      <w:proofErr w:type="spellStart"/>
      <w:r w:rsidRPr="00CF445B">
        <w:rPr>
          <w:rFonts w:asciiTheme="majorHAnsi" w:hAnsiTheme="majorHAnsi" w:cstheme="majorHAnsi"/>
        </w:rPr>
        <w:t>Optima</w:t>
      </w:r>
      <w:proofErr w:type="spellEnd"/>
      <w:r w:rsidRPr="00CF445B">
        <w:rPr>
          <w:rFonts w:asciiTheme="majorHAnsi" w:hAnsiTheme="majorHAnsi" w:cstheme="majorHAnsi"/>
        </w:rPr>
        <w:t xml:space="preserve"> </w:t>
      </w:r>
      <w:proofErr w:type="spellStart"/>
      <w:r w:rsidRPr="00CF445B">
        <w:rPr>
          <w:rFonts w:asciiTheme="majorHAnsi" w:hAnsiTheme="majorHAnsi" w:cstheme="majorHAnsi"/>
        </w:rPr>
        <w:t>bank</w:t>
      </w:r>
      <w:proofErr w:type="spellEnd"/>
      <w:r w:rsidRPr="00CF445B">
        <w:rPr>
          <w:rFonts w:asciiTheme="majorHAnsi" w:hAnsiTheme="majorHAnsi" w:cstheme="majorHAnsi"/>
        </w:rPr>
        <w:t xml:space="preserve"> A.E.», στην οποία ανατέθηκε να αξιολογήσει τη Δημόσια Πρόταση και να εκδώσει τη σχετική Έκθεση του </w:t>
      </w:r>
      <w:proofErr w:type="spellStart"/>
      <w:r w:rsidR="00A14AE5">
        <w:rPr>
          <w:rFonts w:asciiTheme="majorHAnsi" w:hAnsiTheme="majorHAnsi" w:cstheme="majorHAnsi"/>
        </w:rPr>
        <w:t>Χρηματοοικοινομικού</w:t>
      </w:r>
      <w:proofErr w:type="spellEnd"/>
      <w:r w:rsidR="00A14AE5">
        <w:rPr>
          <w:rFonts w:asciiTheme="majorHAnsi" w:hAnsiTheme="majorHAnsi" w:cstheme="majorHAnsi"/>
        </w:rPr>
        <w:t xml:space="preserve"> </w:t>
      </w:r>
      <w:r w:rsidRPr="00CF445B">
        <w:rPr>
          <w:rFonts w:asciiTheme="majorHAnsi" w:hAnsiTheme="majorHAnsi" w:cstheme="majorHAnsi"/>
        </w:rPr>
        <w:t>Συμβούλου. Στο πλαίσιο αυτό, το Διοικητικό Συμβούλιο παρείχε όλα τα στοιχεία και τις πληροφορίες που ζητήθηκαν από το Χρηματοοικονομικό Σύμβουλο για τη σύνταξη της Έκθεσής του.</w:t>
      </w:r>
    </w:p>
    <w:p w14:paraId="574ED679" w14:textId="459EE732" w:rsidR="00E50563" w:rsidRPr="00CF445B" w:rsidRDefault="00E50563" w:rsidP="00E50563">
      <w:pPr>
        <w:pStyle w:val="NoSpacing"/>
        <w:ind w:firstLine="360"/>
        <w:jc w:val="both"/>
        <w:rPr>
          <w:rFonts w:asciiTheme="majorHAnsi" w:hAnsiTheme="majorHAnsi" w:cstheme="majorHAnsi"/>
        </w:rPr>
      </w:pPr>
      <w:bookmarkStart w:id="6" w:name="_Hlk78373000"/>
      <w:r w:rsidRPr="00CF445B">
        <w:rPr>
          <w:rFonts w:asciiTheme="majorHAnsi" w:hAnsiTheme="majorHAnsi" w:cstheme="majorHAnsi"/>
        </w:rPr>
        <w:t xml:space="preserve">Στις </w:t>
      </w:r>
      <w:r w:rsidR="00637991">
        <w:rPr>
          <w:rFonts w:asciiTheme="majorHAnsi" w:hAnsiTheme="majorHAnsi" w:cstheme="majorHAnsi"/>
        </w:rPr>
        <w:t>0</w:t>
      </w:r>
      <w:r w:rsidRPr="00CF445B">
        <w:rPr>
          <w:rFonts w:asciiTheme="majorHAnsi" w:hAnsiTheme="majorHAnsi" w:cstheme="majorHAnsi"/>
        </w:rPr>
        <w:t>8.</w:t>
      </w:r>
      <w:r w:rsidR="00637991">
        <w:rPr>
          <w:rFonts w:asciiTheme="majorHAnsi" w:hAnsiTheme="majorHAnsi" w:cstheme="majorHAnsi"/>
        </w:rPr>
        <w:t>0</w:t>
      </w:r>
      <w:r w:rsidRPr="00CF445B">
        <w:rPr>
          <w:rFonts w:asciiTheme="majorHAnsi" w:hAnsiTheme="majorHAnsi" w:cstheme="majorHAnsi"/>
        </w:rPr>
        <w:t xml:space="preserve">8.2022, αμέσως μόλις ο Προτείνων υπέβαλε στο Διοικητικό Συμβούλιο το εγκεκριμένο από την Επιτροπή Κεφαλαιαγοράς Πληροφοριακό Δελτίο, ο Πρόεδρος του Διοικητικού Συμβουλίου το διαβίβασε δεόντως στις/στους εργαζόμενες/ους της Εταιρείας, μέσω μηνύματος ηλεκτρονικού ταχυδρομείου, όπως ορίζεται στο άρθρο 11 παρ. 9 του Ν.3461/2006. </w:t>
      </w:r>
    </w:p>
    <w:p w14:paraId="0686C27E" w14:textId="77777777" w:rsidR="00E50563" w:rsidRPr="00CF445B" w:rsidRDefault="00E50563" w:rsidP="00E50563">
      <w:pPr>
        <w:pStyle w:val="NoSpacing"/>
        <w:ind w:firstLine="360"/>
        <w:jc w:val="both"/>
        <w:rPr>
          <w:rFonts w:asciiTheme="majorHAnsi" w:hAnsiTheme="majorHAnsi" w:cstheme="majorHAnsi"/>
        </w:rPr>
      </w:pPr>
      <w:r w:rsidRPr="00CF445B">
        <w:rPr>
          <w:rFonts w:asciiTheme="majorHAnsi" w:hAnsiTheme="majorHAnsi" w:cstheme="majorHAnsi"/>
        </w:rPr>
        <w:t>Σημειώνεται ότι οι εργαζόμενες/οι της Εταιρείας, μέχρι σήμερα, δεν έχουν υποβάλει προς το Διοικητικό Συμβούλιο χωριστή έγγραφη γνώμη σχετικά με τις επιπτώσεις της Δημόσιας Πρότασης στην Εταιρεία και στην απασχόληση των εργαζομένων.</w:t>
      </w:r>
    </w:p>
    <w:bookmarkEnd w:id="6"/>
    <w:p w14:paraId="7AE009C7" w14:textId="273BF470" w:rsidR="00E50563" w:rsidRPr="00CF445B" w:rsidRDefault="00E50563" w:rsidP="00E50563">
      <w:pPr>
        <w:pStyle w:val="NoSpacing"/>
        <w:ind w:firstLine="360"/>
        <w:jc w:val="both"/>
        <w:rPr>
          <w:rFonts w:asciiTheme="majorHAnsi" w:hAnsiTheme="majorHAnsi" w:cstheme="majorHAnsi"/>
        </w:rPr>
      </w:pPr>
      <w:r w:rsidRPr="00CF445B">
        <w:rPr>
          <w:rFonts w:asciiTheme="majorHAnsi" w:hAnsiTheme="majorHAnsi" w:cstheme="majorHAnsi"/>
        </w:rPr>
        <w:t>Το Διοικητικό Συμβούλιο της Εταιρείας θα υποβάλλει σύμφωνα με το άρθρο 15 του Ν. 3461/2006 την παρούσα αιτιολογημένη γνώμη του στις αρμόδιες αρχές, θα τη γνωστοποιήσει στις/στους εργαζόμενες/ους της Εταιρείας και θα τη δημοσιοποιήσει προσηκόντως και σύμφωνα με τον Ν</w:t>
      </w:r>
      <w:r w:rsidR="00637991">
        <w:rPr>
          <w:rFonts w:asciiTheme="majorHAnsi" w:hAnsiTheme="majorHAnsi" w:cstheme="majorHAnsi"/>
        </w:rPr>
        <w:t>όμο</w:t>
      </w:r>
      <w:r w:rsidRPr="00CF445B">
        <w:rPr>
          <w:rFonts w:asciiTheme="majorHAnsi" w:hAnsiTheme="majorHAnsi" w:cstheme="majorHAnsi"/>
        </w:rPr>
        <w:t>.</w:t>
      </w:r>
    </w:p>
    <w:p w14:paraId="7FE4055C" w14:textId="77777777" w:rsidR="00E50563" w:rsidRPr="00CF445B" w:rsidRDefault="00E50563" w:rsidP="00E50563">
      <w:pPr>
        <w:pStyle w:val="NoSpacing"/>
        <w:ind w:firstLine="360"/>
        <w:jc w:val="both"/>
        <w:rPr>
          <w:rFonts w:asciiTheme="majorHAnsi" w:hAnsiTheme="majorHAnsi" w:cstheme="majorHAnsi"/>
        </w:rPr>
      </w:pPr>
      <w:r w:rsidRPr="00CF445B">
        <w:rPr>
          <w:rFonts w:asciiTheme="majorHAnsi" w:hAnsiTheme="majorHAnsi" w:cstheme="majorHAnsi"/>
        </w:rPr>
        <w:lastRenderedPageBreak/>
        <w:t>Τέλος, το Διοικητικό Συμβούλιο της Εταιρείας δεν αναζήτησε, ούτε έλαβε ανταγωνιστικές προτάσεις από τρίτους και δεν προέβη, ούτε πρόκειται να προβεί έως τη δημοσιοποίηση του αποτελέσματος της Δημόσιας Πρότασης, σε οποιαδήποτε ενέργεια, η οποία δεν εντάσσεται στη συνήθη πορεία των δραστηριοτήτων της Εταιρείας και θα μπορούσε να οδηγήσει στη ματαίωση της Δημόσιας Πρότασης, κατά τα διαλαμβανόμενα στο άρθρο 14 του Ν.3461/2006.</w:t>
      </w:r>
    </w:p>
    <w:p w14:paraId="69AE942E" w14:textId="77777777" w:rsidR="00E50563" w:rsidRPr="00CF445B" w:rsidRDefault="00E50563" w:rsidP="00E50563">
      <w:pPr>
        <w:pStyle w:val="NoSpacing"/>
        <w:ind w:firstLine="360"/>
        <w:jc w:val="both"/>
        <w:rPr>
          <w:rFonts w:asciiTheme="majorHAnsi" w:hAnsiTheme="majorHAnsi" w:cstheme="majorHAnsi"/>
        </w:rPr>
      </w:pPr>
    </w:p>
    <w:p w14:paraId="697788FE" w14:textId="77777777" w:rsidR="00E50563" w:rsidRPr="00CF445B" w:rsidRDefault="00E50563" w:rsidP="00E50563">
      <w:pPr>
        <w:pStyle w:val="Heading2"/>
        <w:spacing w:before="0"/>
        <w:jc w:val="both"/>
        <w:rPr>
          <w:rStyle w:val="IntenseEmphasis"/>
          <w:rFonts w:cstheme="majorHAnsi"/>
          <w:b w:val="0"/>
          <w:bCs w:val="0"/>
          <w:i w:val="0"/>
          <w:color w:val="auto"/>
          <w:sz w:val="24"/>
          <w:szCs w:val="24"/>
          <w:lang w:val="el-GR"/>
        </w:rPr>
      </w:pPr>
      <w:bookmarkStart w:id="7" w:name="_Toc111202956"/>
      <w:r w:rsidRPr="00CF445B">
        <w:rPr>
          <w:rStyle w:val="IntenseEmphasis"/>
          <w:rFonts w:cstheme="majorHAnsi"/>
          <w:color w:val="auto"/>
          <w:sz w:val="24"/>
          <w:szCs w:val="24"/>
          <w:lang w:val="el-GR"/>
        </w:rPr>
        <w:t>2.3. Συμφωνίες μεταξύ του Διοικητικού Συμβουλίου της Εταιρείας ή/και των Μελών του με τον Προτείνοντα (άρθρο 15 παρ. 2 περ. γ. του Ν. 3461/2006).</w:t>
      </w:r>
      <w:bookmarkEnd w:id="7"/>
    </w:p>
    <w:p w14:paraId="29CF61C6" w14:textId="421D2748" w:rsidR="00E50563" w:rsidRPr="00CF445B" w:rsidRDefault="00E50563" w:rsidP="00E50563">
      <w:pPr>
        <w:pStyle w:val="NoSpacing"/>
        <w:ind w:firstLine="360"/>
        <w:jc w:val="both"/>
        <w:rPr>
          <w:rFonts w:asciiTheme="majorHAnsi" w:hAnsiTheme="majorHAnsi" w:cstheme="majorHAnsi"/>
          <w:bCs/>
          <w:iCs/>
        </w:rPr>
      </w:pPr>
      <w:r w:rsidRPr="00CF445B">
        <w:rPr>
          <w:rFonts w:asciiTheme="majorHAnsi" w:hAnsiTheme="majorHAnsi" w:cstheme="majorHAnsi"/>
        </w:rPr>
        <w:t>Κατά την ημερομηνία σύνταξης της παρούσας, δεν υπάρχουν ειδικές συμφωνίες μεταξύ του Διοικητικού Συμβουλίου ή/και των μελών του με τον Προτείνοντα</w:t>
      </w:r>
      <w:r w:rsidRPr="00CF445B">
        <w:rPr>
          <w:rFonts w:asciiTheme="majorHAnsi" w:hAnsiTheme="majorHAnsi" w:cstheme="majorHAnsi"/>
          <w:bCs/>
          <w:iCs/>
        </w:rPr>
        <w:t xml:space="preserve">. </w:t>
      </w:r>
    </w:p>
    <w:p w14:paraId="13E6B92E" w14:textId="61548C04" w:rsidR="00E50563" w:rsidRPr="00CF445B" w:rsidRDefault="00E50563" w:rsidP="00E50563">
      <w:pPr>
        <w:pStyle w:val="NoSpacing"/>
        <w:ind w:firstLine="360"/>
        <w:jc w:val="both"/>
        <w:rPr>
          <w:rFonts w:asciiTheme="majorHAnsi" w:hAnsiTheme="majorHAnsi" w:cstheme="majorHAnsi"/>
        </w:rPr>
      </w:pPr>
      <w:r w:rsidRPr="00CF445B">
        <w:rPr>
          <w:rFonts w:asciiTheme="majorHAnsi" w:hAnsiTheme="majorHAnsi" w:cstheme="majorHAnsi"/>
        </w:rPr>
        <w:t xml:space="preserve">Μετά τη δημοσιοποίηση της Δημόσιας Πρότασης, και συγκεκριμένα την </w:t>
      </w:r>
      <w:r w:rsidRPr="00CF445B">
        <w:rPr>
          <w:rFonts w:asciiTheme="majorHAnsi" w:hAnsiTheme="majorHAnsi" w:cstheme="majorHAnsi"/>
          <w:lang w:eastAsia="en-US" w:bidi="en-US"/>
        </w:rPr>
        <w:t xml:space="preserve">28.07.2022, </w:t>
      </w:r>
      <w:r w:rsidRPr="00CF445B">
        <w:rPr>
          <w:rFonts w:asciiTheme="majorHAnsi" w:hAnsiTheme="majorHAnsi" w:cstheme="majorHAnsi"/>
        </w:rPr>
        <w:t xml:space="preserve">ο Προτείνων έθεσε υπόψη του κ. Σ. Βυζάντιου, Προέδρου και Δ/ντος Συμβούλου της Εταιρείας, πρόταση συνεργασίας για τη παραμονή του στην θέση του Προέδρου και Διευθύνοντος Συμβούλου της Εταιρείας στην περίπτωση ικανοποίησης της προϋπόθεσης απόκτησης του Ελάχιστου Αριθμού Μετοχών και της επακόλουθης εξαγοράς της Εταιρείας από τον Προτείνοντα, με σχέση εξαρτημένης εργασίας και πακέτο αποδοχών, για χρονικό διάστημα δύο </w:t>
      </w:r>
      <w:r w:rsidR="007445CF">
        <w:rPr>
          <w:rFonts w:asciiTheme="majorHAnsi" w:hAnsiTheme="majorHAnsi" w:cstheme="majorHAnsi"/>
        </w:rPr>
        <w:t xml:space="preserve">και ενός </w:t>
      </w:r>
      <w:r w:rsidRPr="00CF445B">
        <w:rPr>
          <w:rFonts w:asciiTheme="majorHAnsi" w:hAnsiTheme="majorHAnsi" w:cstheme="majorHAnsi"/>
        </w:rPr>
        <w:t xml:space="preserve">(2) + (1) χρόνων. </w:t>
      </w:r>
    </w:p>
    <w:p w14:paraId="155AE1CB" w14:textId="77777777" w:rsidR="00E50563" w:rsidRPr="00CF445B" w:rsidRDefault="00E50563" w:rsidP="00E50563">
      <w:pPr>
        <w:pStyle w:val="NoSpacing"/>
        <w:ind w:firstLine="360"/>
        <w:jc w:val="both"/>
        <w:rPr>
          <w:rFonts w:asciiTheme="majorHAnsi" w:hAnsiTheme="majorHAnsi" w:cstheme="majorHAnsi"/>
          <w:bCs/>
        </w:rPr>
      </w:pPr>
      <w:r w:rsidRPr="00CF445B">
        <w:rPr>
          <w:rFonts w:asciiTheme="majorHAnsi" w:hAnsiTheme="majorHAnsi" w:cstheme="majorHAnsi"/>
        </w:rPr>
        <w:t xml:space="preserve">Βάσει της εν λόγω πρότασης, οι προκλήσεις που θα πρέπει να αντιμετωπιστούν αφορούν </w:t>
      </w:r>
      <w:r w:rsidRPr="00CF445B">
        <w:rPr>
          <w:rFonts w:asciiTheme="majorHAnsi" w:hAnsiTheme="majorHAnsi" w:cstheme="majorHAnsi"/>
          <w:bCs/>
        </w:rPr>
        <w:t>(i) την επιτυχή ενσωμάτωση της δραστηριότητας της Εταιρείας, στην υπάρχουσα δομή του Ομίλου Εταιρειών του Προτείνοντος, χωρίς να θίγεται η νομική και οικονομική αυτονομία της, (ii) την επιλογή των κατάλληλων επιχειρηματικών κινήσεων για την αύξηση των μεγεθών</w:t>
      </w:r>
      <w:r w:rsidRPr="00CF445B">
        <w:rPr>
          <w:rFonts w:asciiTheme="majorHAnsi" w:hAnsiTheme="majorHAnsi" w:cstheme="majorHAnsi"/>
        </w:rPr>
        <w:t xml:space="preserve"> </w:t>
      </w:r>
      <w:r w:rsidRPr="00CF445B">
        <w:rPr>
          <w:rFonts w:asciiTheme="majorHAnsi" w:hAnsiTheme="majorHAnsi" w:cstheme="majorHAnsi"/>
          <w:bCs/>
        </w:rPr>
        <w:t xml:space="preserve">της Εταιρείας, (iii) την αντιμετώπιση τυχόν δυσμενών αλλαγών στις προοπτικές του τομέα πληροφορικής και στον ανταγωνισμό, (iv) την επαύξηση της ανταγωνιστικότητας των θυγατρικών του Προτείνοντος στον τομέα της πληροφορικής και (v) εφόσον αποφασιστεί, την υποστήριξη της συγκέντρωσης της δραστηριότητας των εταιρειών του Προτείνοντος στον τομέα της πληροφορικής και </w:t>
      </w:r>
      <w:proofErr w:type="spellStart"/>
      <w:r w:rsidRPr="00CF445B">
        <w:rPr>
          <w:rFonts w:asciiTheme="majorHAnsi" w:hAnsiTheme="majorHAnsi" w:cstheme="majorHAnsi"/>
          <w:bCs/>
        </w:rPr>
        <w:t>κυβερνοασφάλειας</w:t>
      </w:r>
      <w:proofErr w:type="spellEnd"/>
      <w:r w:rsidRPr="00CF445B">
        <w:rPr>
          <w:rFonts w:asciiTheme="majorHAnsi" w:hAnsiTheme="majorHAnsi" w:cstheme="majorHAnsi"/>
          <w:bCs/>
        </w:rPr>
        <w:t xml:space="preserve"> υπό το νομικό πρόσωπο της BYTE, με ταυτόχρονη εμπέδωση </w:t>
      </w:r>
      <w:proofErr w:type="spellStart"/>
      <w:r w:rsidRPr="00CF445B">
        <w:rPr>
          <w:rFonts w:asciiTheme="majorHAnsi" w:hAnsiTheme="majorHAnsi" w:cstheme="majorHAnsi"/>
          <w:bCs/>
        </w:rPr>
        <w:t>ομιλικής</w:t>
      </w:r>
      <w:proofErr w:type="spellEnd"/>
      <w:r w:rsidRPr="00CF445B">
        <w:rPr>
          <w:rFonts w:asciiTheme="majorHAnsi" w:hAnsiTheme="majorHAnsi" w:cstheme="majorHAnsi"/>
          <w:bCs/>
        </w:rPr>
        <w:t xml:space="preserve"> φιλοσοφίας του </w:t>
      </w:r>
      <w:proofErr w:type="spellStart"/>
      <w:r w:rsidRPr="00CF445B">
        <w:rPr>
          <w:rFonts w:asciiTheme="majorHAnsi" w:hAnsiTheme="majorHAnsi" w:cstheme="majorHAnsi"/>
          <w:bCs/>
        </w:rPr>
        <w:t>Προτείνοντος</w:t>
      </w:r>
      <w:proofErr w:type="spellEnd"/>
      <w:r w:rsidRPr="00CF445B">
        <w:rPr>
          <w:rFonts w:asciiTheme="majorHAnsi" w:hAnsiTheme="majorHAnsi" w:cstheme="majorHAnsi"/>
          <w:bCs/>
        </w:rPr>
        <w:t xml:space="preserve">. </w:t>
      </w:r>
    </w:p>
    <w:p w14:paraId="5A94F88B" w14:textId="77777777" w:rsidR="00E50563" w:rsidRPr="00CF445B" w:rsidRDefault="00E50563" w:rsidP="00E50563">
      <w:pPr>
        <w:pStyle w:val="NoSpacing"/>
        <w:ind w:firstLine="360"/>
        <w:jc w:val="both"/>
        <w:rPr>
          <w:rFonts w:asciiTheme="majorHAnsi" w:hAnsiTheme="majorHAnsi" w:cstheme="majorHAnsi"/>
          <w:bCs/>
        </w:rPr>
      </w:pPr>
      <w:r w:rsidRPr="00CF445B">
        <w:rPr>
          <w:rFonts w:asciiTheme="majorHAnsi" w:hAnsiTheme="majorHAnsi" w:cstheme="majorHAnsi"/>
          <w:bCs/>
        </w:rPr>
        <w:t xml:space="preserve">Στην πρόταση προσδιορίζονται ακόμη οι προτεινόμενες ετήσιες, σταθερές και μεταβλητές, αποδοχές και λοιπές παροχές, ενώ παρέχονται επίσης συγκεκριμένες εγγυήσεις σταθερότητας του τρόπου διοίκησης και εν γένει διακυβέρνησης της Εταιρείας (λ.χ. διατήρηση νομικής, οικονομικής και ταμειακής αυτονομίας της). </w:t>
      </w:r>
    </w:p>
    <w:p w14:paraId="200FD77F" w14:textId="77777777" w:rsidR="00E50563" w:rsidRPr="00CF445B" w:rsidRDefault="00E50563" w:rsidP="00E50563">
      <w:pPr>
        <w:pStyle w:val="NoSpacing"/>
        <w:ind w:firstLine="360"/>
        <w:jc w:val="both"/>
        <w:rPr>
          <w:rFonts w:asciiTheme="majorHAnsi" w:hAnsiTheme="majorHAnsi" w:cstheme="majorHAnsi"/>
          <w:bCs/>
          <w:iCs/>
        </w:rPr>
      </w:pPr>
    </w:p>
    <w:p w14:paraId="1ACAE54D" w14:textId="77777777" w:rsidR="00E50563" w:rsidRPr="00CF445B" w:rsidRDefault="00E50563" w:rsidP="00E50563">
      <w:pPr>
        <w:pStyle w:val="Heading2"/>
        <w:jc w:val="both"/>
        <w:rPr>
          <w:rStyle w:val="IntenseEmphasis"/>
          <w:rFonts w:cstheme="majorHAnsi"/>
          <w:b w:val="0"/>
          <w:i w:val="0"/>
          <w:color w:val="auto"/>
          <w:sz w:val="24"/>
          <w:szCs w:val="24"/>
          <w:lang w:val="el-GR"/>
        </w:rPr>
      </w:pPr>
      <w:bookmarkStart w:id="8" w:name="_Toc111202957"/>
      <w:r w:rsidRPr="00CF445B">
        <w:rPr>
          <w:rStyle w:val="IntenseEmphasis"/>
          <w:rFonts w:cstheme="majorHAnsi"/>
          <w:color w:val="auto"/>
          <w:sz w:val="24"/>
          <w:szCs w:val="24"/>
          <w:lang w:val="el-GR"/>
        </w:rPr>
        <w:t>2.4. Αιτιολογημένη άποψη του Διοικητικού Συμβουλίου της Εταιρείας σχετικά με τη Δημόσια Πρόταση (άρθρο 15 παρ. 2 περ. δ. του Ν. 3461/2006).</w:t>
      </w:r>
      <w:bookmarkEnd w:id="8"/>
    </w:p>
    <w:p w14:paraId="74CB7D5B" w14:textId="77777777" w:rsidR="00E50563" w:rsidRPr="00CF445B" w:rsidRDefault="00E50563" w:rsidP="00E50563">
      <w:pPr>
        <w:pStyle w:val="NoSpacing"/>
        <w:ind w:firstLine="360"/>
        <w:jc w:val="both"/>
        <w:rPr>
          <w:rFonts w:asciiTheme="majorHAnsi" w:hAnsiTheme="majorHAnsi" w:cstheme="majorHAnsi"/>
        </w:rPr>
      </w:pPr>
    </w:p>
    <w:p w14:paraId="3D9509B7" w14:textId="77777777" w:rsidR="00E50563" w:rsidRPr="00CF445B" w:rsidRDefault="00E50563" w:rsidP="00E50563">
      <w:pPr>
        <w:pStyle w:val="NoSpacing"/>
        <w:ind w:firstLine="360"/>
        <w:jc w:val="both"/>
        <w:rPr>
          <w:rFonts w:asciiTheme="majorHAnsi" w:hAnsiTheme="majorHAnsi" w:cstheme="majorHAnsi"/>
        </w:rPr>
      </w:pPr>
      <w:r w:rsidRPr="00CF445B">
        <w:rPr>
          <w:rFonts w:asciiTheme="majorHAnsi" w:hAnsiTheme="majorHAnsi" w:cstheme="majorHAnsi"/>
        </w:rPr>
        <w:t>Για τη διαμόρφωση της γνώμης του, σχετικά με τη Δημόσια Πρόταση, το Διοικητικό Συμβούλιο της Εταιρείας έλαβε υπόψη του τα ακόλουθα:</w:t>
      </w:r>
    </w:p>
    <w:p w14:paraId="19A27C7D" w14:textId="77777777" w:rsidR="00E50563" w:rsidRPr="00CF445B" w:rsidRDefault="00E50563" w:rsidP="00E50563">
      <w:pPr>
        <w:spacing w:before="100" w:beforeAutospacing="1" w:after="100" w:afterAutospacing="1" w:line="240" w:lineRule="auto"/>
        <w:jc w:val="both"/>
        <w:rPr>
          <w:rFonts w:asciiTheme="majorHAnsi" w:hAnsiTheme="majorHAnsi" w:cstheme="majorHAnsi"/>
          <w:b/>
          <w:sz w:val="24"/>
          <w:szCs w:val="24"/>
          <w:lang w:val="el-GR"/>
        </w:rPr>
      </w:pPr>
      <w:r w:rsidRPr="00CF445B">
        <w:rPr>
          <w:rFonts w:asciiTheme="majorHAnsi" w:hAnsiTheme="majorHAnsi" w:cstheme="majorHAnsi"/>
          <w:b/>
          <w:sz w:val="24"/>
          <w:szCs w:val="24"/>
          <w:lang w:val="el-GR"/>
        </w:rPr>
        <w:t>2.4.1. Την Έκθεση του Χρηματοοικονομικού Συμβούλου.</w:t>
      </w:r>
    </w:p>
    <w:p w14:paraId="37010762" w14:textId="4976330B" w:rsidR="0098780B" w:rsidRPr="0098780B" w:rsidRDefault="00A14AE5" w:rsidP="0098780B">
      <w:pPr>
        <w:pStyle w:val="NoSpacing"/>
        <w:ind w:firstLine="360"/>
        <w:jc w:val="both"/>
        <w:rPr>
          <w:rFonts w:ascii="Calibri Light" w:hAnsi="Calibri Light" w:cs="Calibri Light"/>
        </w:rPr>
      </w:pPr>
      <w:r w:rsidRPr="00CF445B" w:rsidDel="00A14AE5">
        <w:rPr>
          <w:rFonts w:asciiTheme="majorHAnsi" w:hAnsiTheme="majorHAnsi" w:cstheme="majorHAnsi"/>
        </w:rPr>
        <w:t xml:space="preserve"> </w:t>
      </w:r>
      <w:r w:rsidR="0098780B" w:rsidRPr="0098780B">
        <w:rPr>
          <w:rFonts w:ascii="Calibri Light" w:hAnsi="Calibri Light" w:cs="Calibri Light"/>
        </w:rPr>
        <w:t xml:space="preserve">Βάσει της από 10.08.2022 Έκθεσής του σύμφωνα με το άρθρο 15 </w:t>
      </w:r>
      <w:r w:rsidR="00637991">
        <w:rPr>
          <w:rFonts w:ascii="Calibri Light" w:hAnsi="Calibri Light" w:cs="Calibri Light"/>
        </w:rPr>
        <w:t xml:space="preserve">παρ.2 </w:t>
      </w:r>
      <w:r w:rsidR="0098780B" w:rsidRPr="0098780B">
        <w:rPr>
          <w:rFonts w:ascii="Calibri Light" w:hAnsi="Calibri Light" w:cs="Calibri Light"/>
        </w:rPr>
        <w:t>του Ν. 3461/2006, ο Χρηματοοικονομικός Σύμβουλος, με βάση τις διάφορες υποθέσεις που περιέχονται στην Έκθεση, προσδιόρισε ένα εύρος τιμών σε σχέση με τη Δημόσια Πρόταση, το οποίο κυμαίνεται μεταξύ € 3,42 -</w:t>
      </w:r>
      <w:r w:rsidR="007445CF">
        <w:rPr>
          <w:rFonts w:ascii="Calibri Light" w:hAnsi="Calibri Light" w:cs="Calibri Light"/>
        </w:rPr>
        <w:t xml:space="preserve"> </w:t>
      </w:r>
      <w:r w:rsidR="0098780B" w:rsidRPr="0098780B">
        <w:rPr>
          <w:rFonts w:ascii="Calibri Light" w:hAnsi="Calibri Light" w:cs="Calibri Light"/>
        </w:rPr>
        <w:t>3,84 ανά Μετοχή (εφεξής το «</w:t>
      </w:r>
      <w:r w:rsidR="0098780B" w:rsidRPr="0098780B">
        <w:rPr>
          <w:rFonts w:ascii="Calibri Light" w:eastAsia="Calibri" w:hAnsi="Calibri Light" w:cs="Calibri Light"/>
          <w:b/>
        </w:rPr>
        <w:t>Εύρος Τιμών</w:t>
      </w:r>
      <w:r w:rsidR="0098780B" w:rsidRPr="0098780B">
        <w:rPr>
          <w:rFonts w:ascii="Calibri Light" w:hAnsi="Calibri Light" w:cs="Calibri Light"/>
        </w:rPr>
        <w:t>»).</w:t>
      </w:r>
    </w:p>
    <w:p w14:paraId="3D8510C5" w14:textId="77777777" w:rsidR="0098780B" w:rsidRPr="0098780B" w:rsidRDefault="0098780B" w:rsidP="0098780B">
      <w:pPr>
        <w:spacing w:after="0" w:line="240" w:lineRule="auto"/>
        <w:ind w:firstLine="360"/>
        <w:jc w:val="both"/>
        <w:rPr>
          <w:rFonts w:ascii="Calibri Light" w:eastAsia="MS Mincho" w:hAnsi="Calibri Light" w:cs="Calibri Light"/>
          <w:sz w:val="24"/>
          <w:szCs w:val="24"/>
          <w:lang w:val="el-GR" w:eastAsia="ja-JP"/>
        </w:rPr>
      </w:pPr>
      <w:r w:rsidRPr="0098780B">
        <w:rPr>
          <w:rFonts w:ascii="Calibri Light" w:eastAsia="MS Mincho" w:hAnsi="Calibri Light" w:cs="Calibri Light"/>
          <w:sz w:val="24"/>
          <w:szCs w:val="24"/>
          <w:lang w:val="el-GR" w:eastAsia="ja-JP"/>
        </w:rPr>
        <w:lastRenderedPageBreak/>
        <w:t>Για τη διενέργεια της αποτίμησης της Έκθεσης του Χρηματοοικονομικού Συμβούλου  χρησιμοποιήθηκαν διεθνώς αναγνωρισμένες μέθοδοι, και συγκεκριμένα οι εξής:</w:t>
      </w:r>
    </w:p>
    <w:p w14:paraId="4D493114" w14:textId="77777777" w:rsidR="007445CF" w:rsidRDefault="0098780B" w:rsidP="008752D2">
      <w:pPr>
        <w:pStyle w:val="ListParagraph"/>
        <w:numPr>
          <w:ilvl w:val="0"/>
          <w:numId w:val="6"/>
        </w:numPr>
        <w:spacing w:after="0" w:line="240" w:lineRule="auto"/>
        <w:jc w:val="both"/>
        <w:rPr>
          <w:rFonts w:ascii="Calibri Light" w:eastAsia="MS Mincho" w:hAnsi="Calibri Light" w:cs="Calibri Light"/>
          <w:sz w:val="24"/>
          <w:szCs w:val="24"/>
          <w:lang w:val="el-GR" w:eastAsia="ja-JP"/>
        </w:rPr>
      </w:pPr>
      <w:r w:rsidRPr="008752D2">
        <w:rPr>
          <w:rFonts w:ascii="Calibri Light" w:eastAsia="MS Mincho" w:hAnsi="Calibri Light" w:cs="Calibri Light"/>
          <w:sz w:val="24"/>
          <w:szCs w:val="24"/>
          <w:lang w:val="el-GR" w:eastAsia="ja-JP"/>
        </w:rPr>
        <w:t>Προεξόφληση Μελλοντικών Ταμειακών Ροών (</w:t>
      </w:r>
      <w:proofErr w:type="spellStart"/>
      <w:r w:rsidRPr="008752D2">
        <w:rPr>
          <w:rFonts w:ascii="Calibri Light" w:eastAsia="MS Mincho" w:hAnsi="Calibri Light" w:cs="Calibri Light"/>
          <w:sz w:val="24"/>
          <w:szCs w:val="24"/>
          <w:lang w:val="el-GR" w:eastAsia="ja-JP"/>
        </w:rPr>
        <w:t>Discounted</w:t>
      </w:r>
      <w:proofErr w:type="spellEnd"/>
      <w:r w:rsidRPr="008752D2">
        <w:rPr>
          <w:rFonts w:ascii="Calibri Light" w:eastAsia="MS Mincho" w:hAnsi="Calibri Light" w:cs="Calibri Light"/>
          <w:sz w:val="24"/>
          <w:szCs w:val="24"/>
          <w:lang w:val="el-GR" w:eastAsia="ja-JP"/>
        </w:rPr>
        <w:t xml:space="preserve"> Cash </w:t>
      </w:r>
      <w:proofErr w:type="spellStart"/>
      <w:r w:rsidRPr="008752D2">
        <w:rPr>
          <w:rFonts w:ascii="Calibri Light" w:eastAsia="MS Mincho" w:hAnsi="Calibri Light" w:cs="Calibri Light"/>
          <w:sz w:val="24"/>
          <w:szCs w:val="24"/>
          <w:lang w:val="el-GR" w:eastAsia="ja-JP"/>
        </w:rPr>
        <w:t>Flow</w:t>
      </w:r>
      <w:proofErr w:type="spellEnd"/>
      <w:r w:rsidRPr="008752D2">
        <w:rPr>
          <w:rFonts w:ascii="Calibri Light" w:eastAsia="MS Mincho" w:hAnsi="Calibri Light" w:cs="Calibri Light"/>
          <w:sz w:val="24"/>
          <w:szCs w:val="24"/>
          <w:lang w:val="el-GR" w:eastAsia="ja-JP"/>
        </w:rPr>
        <w:t xml:space="preserve"> </w:t>
      </w:r>
      <w:proofErr w:type="spellStart"/>
      <w:r w:rsidRPr="008752D2">
        <w:rPr>
          <w:rFonts w:ascii="Calibri Light" w:eastAsia="MS Mincho" w:hAnsi="Calibri Light" w:cs="Calibri Light"/>
          <w:sz w:val="24"/>
          <w:szCs w:val="24"/>
          <w:lang w:val="el-GR" w:eastAsia="ja-JP"/>
        </w:rPr>
        <w:t>Method</w:t>
      </w:r>
      <w:proofErr w:type="spellEnd"/>
      <w:r w:rsidRPr="008752D2">
        <w:rPr>
          <w:rFonts w:ascii="Calibri Light" w:eastAsia="MS Mincho" w:hAnsi="Calibri Light" w:cs="Calibri Light"/>
          <w:sz w:val="24"/>
          <w:szCs w:val="24"/>
          <w:lang w:val="el-GR" w:eastAsia="ja-JP"/>
        </w:rPr>
        <w:t>) από την οποία προκύπτει, στο βασικό σενάριο, αποτίμηση της Εταιρείας που ανέρχεται σε € 3,42 ανά Μετοχή,</w:t>
      </w:r>
    </w:p>
    <w:p w14:paraId="211788C9" w14:textId="77777777" w:rsidR="007445CF" w:rsidRDefault="0098780B" w:rsidP="008752D2">
      <w:pPr>
        <w:pStyle w:val="ListParagraph"/>
        <w:numPr>
          <w:ilvl w:val="0"/>
          <w:numId w:val="6"/>
        </w:numPr>
        <w:spacing w:after="0" w:line="240" w:lineRule="auto"/>
        <w:jc w:val="both"/>
        <w:rPr>
          <w:rFonts w:ascii="Calibri Light" w:eastAsia="MS Mincho" w:hAnsi="Calibri Light" w:cs="Calibri Light"/>
          <w:sz w:val="24"/>
          <w:szCs w:val="24"/>
          <w:lang w:val="el-GR" w:eastAsia="ja-JP"/>
        </w:rPr>
      </w:pPr>
      <w:r w:rsidRPr="008752D2">
        <w:rPr>
          <w:rFonts w:ascii="Calibri Light" w:eastAsia="MS Mincho" w:hAnsi="Calibri Light" w:cs="Calibri Light"/>
          <w:sz w:val="24"/>
          <w:szCs w:val="24"/>
          <w:lang w:val="el-GR" w:eastAsia="ja-JP"/>
        </w:rPr>
        <w:t>Συγκριτική Ανάλυση μέσω χρήσης πρόσφατων Συναλλαγών Συγκρίσιμων Εταιριών (</w:t>
      </w:r>
      <w:proofErr w:type="spellStart"/>
      <w:r w:rsidRPr="008752D2">
        <w:rPr>
          <w:rFonts w:ascii="Calibri Light" w:eastAsia="MS Mincho" w:hAnsi="Calibri Light" w:cs="Calibri Light"/>
          <w:sz w:val="24"/>
          <w:szCs w:val="24"/>
          <w:lang w:val="el-GR" w:eastAsia="ja-JP"/>
        </w:rPr>
        <w:t>Precedent</w:t>
      </w:r>
      <w:proofErr w:type="spellEnd"/>
      <w:r w:rsidRPr="008752D2">
        <w:rPr>
          <w:rFonts w:ascii="Calibri Light" w:eastAsia="MS Mincho" w:hAnsi="Calibri Light" w:cs="Calibri Light"/>
          <w:sz w:val="24"/>
          <w:szCs w:val="24"/>
          <w:lang w:val="el-GR" w:eastAsia="ja-JP"/>
        </w:rPr>
        <w:t xml:space="preserve"> </w:t>
      </w:r>
      <w:proofErr w:type="spellStart"/>
      <w:r w:rsidRPr="008752D2">
        <w:rPr>
          <w:rFonts w:ascii="Calibri Light" w:eastAsia="MS Mincho" w:hAnsi="Calibri Light" w:cs="Calibri Light"/>
          <w:sz w:val="24"/>
          <w:szCs w:val="24"/>
          <w:lang w:val="el-GR" w:eastAsia="ja-JP"/>
        </w:rPr>
        <w:t>Transactions</w:t>
      </w:r>
      <w:proofErr w:type="spellEnd"/>
      <w:r w:rsidRPr="008752D2">
        <w:rPr>
          <w:rFonts w:ascii="Calibri Light" w:eastAsia="MS Mincho" w:hAnsi="Calibri Light" w:cs="Calibri Light"/>
          <w:sz w:val="24"/>
          <w:szCs w:val="24"/>
          <w:lang w:val="el-GR" w:eastAsia="ja-JP"/>
        </w:rPr>
        <w:t xml:space="preserve"> </w:t>
      </w:r>
      <w:proofErr w:type="spellStart"/>
      <w:r w:rsidRPr="008752D2">
        <w:rPr>
          <w:rFonts w:ascii="Calibri Light" w:eastAsia="MS Mincho" w:hAnsi="Calibri Light" w:cs="Calibri Light"/>
          <w:sz w:val="24"/>
          <w:szCs w:val="24"/>
          <w:lang w:val="el-GR" w:eastAsia="ja-JP"/>
        </w:rPr>
        <w:t>Method</w:t>
      </w:r>
      <w:proofErr w:type="spellEnd"/>
      <w:r w:rsidRPr="008752D2">
        <w:rPr>
          <w:rFonts w:ascii="Calibri Light" w:eastAsia="MS Mincho" w:hAnsi="Calibri Light" w:cs="Calibri Light"/>
          <w:sz w:val="24"/>
          <w:szCs w:val="24"/>
          <w:lang w:val="el-GR" w:eastAsia="ja-JP"/>
        </w:rPr>
        <w:t>) από την οποία προκύπτει αποτίμηση της Εταιρείας που ανέρχεται σε € 3,84 ανά Μετοχή.</w:t>
      </w:r>
    </w:p>
    <w:p w14:paraId="05468FE0" w14:textId="1EE748BC" w:rsidR="0098780B" w:rsidRPr="008752D2" w:rsidRDefault="0098780B" w:rsidP="008752D2">
      <w:pPr>
        <w:pStyle w:val="ListParagraph"/>
        <w:numPr>
          <w:ilvl w:val="0"/>
          <w:numId w:val="6"/>
        </w:numPr>
        <w:spacing w:after="0" w:line="240" w:lineRule="auto"/>
        <w:jc w:val="both"/>
        <w:rPr>
          <w:rFonts w:ascii="Calibri Light" w:eastAsia="MS Mincho" w:hAnsi="Calibri Light" w:cs="Calibri Light"/>
          <w:sz w:val="24"/>
          <w:szCs w:val="24"/>
          <w:lang w:val="el-GR" w:eastAsia="ja-JP"/>
        </w:rPr>
      </w:pPr>
      <w:r w:rsidRPr="008752D2">
        <w:rPr>
          <w:rFonts w:ascii="Calibri Light" w:eastAsia="MS Mincho" w:hAnsi="Calibri Light" w:cs="Calibri Light"/>
          <w:sz w:val="24"/>
          <w:szCs w:val="24"/>
          <w:lang w:val="el-GR" w:eastAsia="ja-JP"/>
        </w:rPr>
        <w:t xml:space="preserve">Συγκριτική Ανάλυση Εισηγμένων Εταιριών μέσω χρήσης Δεικτών Κεφαλαιαγοράς (Trading </w:t>
      </w:r>
      <w:proofErr w:type="spellStart"/>
      <w:r w:rsidRPr="008752D2">
        <w:rPr>
          <w:rFonts w:ascii="Calibri Light" w:eastAsia="MS Mincho" w:hAnsi="Calibri Light" w:cs="Calibri Light"/>
          <w:sz w:val="24"/>
          <w:szCs w:val="24"/>
          <w:lang w:val="el-GR" w:eastAsia="ja-JP"/>
        </w:rPr>
        <w:t>Multiples</w:t>
      </w:r>
      <w:proofErr w:type="spellEnd"/>
      <w:r w:rsidRPr="008752D2">
        <w:rPr>
          <w:rFonts w:ascii="Calibri Light" w:eastAsia="MS Mincho" w:hAnsi="Calibri Light" w:cs="Calibri Light"/>
          <w:sz w:val="24"/>
          <w:szCs w:val="24"/>
          <w:lang w:val="el-GR" w:eastAsia="ja-JP"/>
        </w:rPr>
        <w:t xml:space="preserve"> of </w:t>
      </w:r>
      <w:proofErr w:type="spellStart"/>
      <w:r w:rsidRPr="008752D2">
        <w:rPr>
          <w:rFonts w:ascii="Calibri Light" w:eastAsia="MS Mincho" w:hAnsi="Calibri Light" w:cs="Calibri Light"/>
          <w:sz w:val="24"/>
          <w:szCs w:val="24"/>
          <w:lang w:val="el-GR" w:eastAsia="ja-JP"/>
        </w:rPr>
        <w:t>Comparable</w:t>
      </w:r>
      <w:proofErr w:type="spellEnd"/>
      <w:r w:rsidRPr="008752D2">
        <w:rPr>
          <w:rFonts w:ascii="Calibri Light" w:eastAsia="MS Mincho" w:hAnsi="Calibri Light" w:cs="Calibri Light"/>
          <w:sz w:val="24"/>
          <w:szCs w:val="24"/>
          <w:lang w:val="el-GR" w:eastAsia="ja-JP"/>
        </w:rPr>
        <w:t xml:space="preserve"> Companies </w:t>
      </w:r>
      <w:proofErr w:type="spellStart"/>
      <w:r w:rsidRPr="008752D2">
        <w:rPr>
          <w:rFonts w:ascii="Calibri Light" w:eastAsia="MS Mincho" w:hAnsi="Calibri Light" w:cs="Calibri Light"/>
          <w:sz w:val="24"/>
          <w:szCs w:val="24"/>
          <w:lang w:val="el-GR" w:eastAsia="ja-JP"/>
        </w:rPr>
        <w:t>Method</w:t>
      </w:r>
      <w:proofErr w:type="spellEnd"/>
      <w:r w:rsidRPr="008752D2">
        <w:rPr>
          <w:rFonts w:ascii="Calibri Light" w:eastAsia="MS Mincho" w:hAnsi="Calibri Light" w:cs="Calibri Light"/>
          <w:sz w:val="24"/>
          <w:szCs w:val="24"/>
          <w:lang w:val="el-GR" w:eastAsia="ja-JP"/>
        </w:rPr>
        <w:t>) από την οποία προκύπτει αποτίμηση της Εταιρείας που ανέρχεται σε € 3,67 ανά Μετοχή.</w:t>
      </w:r>
    </w:p>
    <w:p w14:paraId="7F0A3CDE" w14:textId="108614A8" w:rsidR="0098780B" w:rsidRDefault="0098780B" w:rsidP="0098780B">
      <w:pPr>
        <w:spacing w:after="0" w:line="240" w:lineRule="auto"/>
        <w:ind w:firstLine="360"/>
        <w:jc w:val="both"/>
        <w:rPr>
          <w:rFonts w:ascii="Calibri Light" w:eastAsia="MS Mincho" w:hAnsi="Calibri Light" w:cs="Calibri Light"/>
          <w:sz w:val="24"/>
          <w:szCs w:val="24"/>
          <w:lang w:val="el-GR" w:eastAsia="ja-JP"/>
        </w:rPr>
      </w:pPr>
      <w:r w:rsidRPr="0098780B">
        <w:rPr>
          <w:rFonts w:ascii="Calibri Light" w:eastAsia="MS Mincho" w:hAnsi="Calibri Light" w:cs="Calibri Light"/>
          <w:sz w:val="24"/>
          <w:szCs w:val="24"/>
          <w:lang w:val="el-GR" w:eastAsia="ja-JP"/>
        </w:rPr>
        <w:t xml:space="preserve">Επιπλέον, εξετάστηκε επικουρικά η εξέλιξη της χρηματιστηριακής αξίας της Μετοχής της Εταιρείας σε σχέση με το Γενικό Δείκτη του Χ.Α. και η κατανομή του όγκου συναλλαγών της Εταιρείας ανά ημέρες διαπραγμάτευσης της Μετοχής, έως την ημερομηνία υποχρέωσης της δημόσιας πρότασης, </w:t>
      </w:r>
      <w:r w:rsidR="00115A84">
        <w:rPr>
          <w:rFonts w:ascii="Calibri Light" w:eastAsia="MS Mincho" w:hAnsi="Calibri Light" w:cs="Calibri Light"/>
          <w:sz w:val="24"/>
          <w:szCs w:val="24"/>
          <w:lang w:val="el-GR" w:eastAsia="ja-JP"/>
        </w:rPr>
        <w:t>ήτοι την 01.07</w:t>
      </w:r>
      <w:r w:rsidRPr="0098780B">
        <w:rPr>
          <w:rFonts w:ascii="Calibri Light" w:eastAsia="MS Mincho" w:hAnsi="Calibri Light" w:cs="Calibri Light"/>
          <w:sz w:val="24"/>
          <w:szCs w:val="24"/>
          <w:lang w:val="el-GR" w:eastAsia="ja-JP"/>
        </w:rPr>
        <w:t>.2021.</w:t>
      </w:r>
    </w:p>
    <w:p w14:paraId="46CE0F34" w14:textId="49B6CCA2" w:rsidR="0098780B" w:rsidRDefault="007445CF" w:rsidP="0098780B">
      <w:pPr>
        <w:spacing w:after="0" w:line="240" w:lineRule="auto"/>
        <w:ind w:firstLine="360"/>
        <w:jc w:val="both"/>
        <w:rPr>
          <w:rFonts w:ascii="Calibri Light" w:eastAsia="MS Mincho" w:hAnsi="Calibri Light" w:cs="Calibri Light"/>
          <w:sz w:val="24"/>
          <w:szCs w:val="24"/>
          <w:lang w:val="el-GR" w:eastAsia="ja-JP"/>
        </w:rPr>
      </w:pPr>
      <w:r>
        <w:rPr>
          <w:rFonts w:ascii="Calibri Light" w:eastAsia="MS Mincho" w:hAnsi="Calibri Light" w:cs="Calibri Light"/>
          <w:sz w:val="24"/>
          <w:szCs w:val="24"/>
          <w:lang w:val="el-GR" w:eastAsia="ja-JP"/>
        </w:rPr>
        <w:t>Δεδομένου ότι τμήμα του Προσφερόμενου Ανταλλάγματος συνίσταται σε κινητές αξίες του Προτείνοντος, ο Χρηματοοικονομικός Σύμβουλος προχώρησε στην αποτίμηση και του Προτείνοντος, χρησιμοποιώντας τις εξής βασικές μεθόδους:</w:t>
      </w:r>
    </w:p>
    <w:p w14:paraId="74223DEC" w14:textId="34F9A905" w:rsidR="007402A0" w:rsidRPr="004F352F" w:rsidRDefault="007402A0" w:rsidP="004F352F">
      <w:pPr>
        <w:pStyle w:val="NoSpacing"/>
        <w:numPr>
          <w:ilvl w:val="0"/>
          <w:numId w:val="6"/>
        </w:numPr>
        <w:jc w:val="both"/>
        <w:rPr>
          <w:rFonts w:asciiTheme="majorHAnsi" w:hAnsiTheme="majorHAnsi" w:cstheme="majorHAnsi"/>
          <w:bCs/>
        </w:rPr>
      </w:pPr>
      <w:r w:rsidRPr="004F352F">
        <w:rPr>
          <w:rFonts w:asciiTheme="majorHAnsi" w:hAnsiTheme="majorHAnsi" w:cstheme="majorHAnsi"/>
          <w:bCs/>
        </w:rPr>
        <w:t>Προεξόφληση Μελλοντικών Ταμειακών Ροών, από την οποία προκύπτει, στο βασικό σενάριο, αποτίμηση του Προτείνοντος που ανέρχεται σε €4,16 ανά μετοχή,</w:t>
      </w:r>
    </w:p>
    <w:p w14:paraId="40B6DC20" w14:textId="734F9372" w:rsidR="007402A0" w:rsidRPr="004F352F" w:rsidRDefault="007402A0" w:rsidP="004F352F">
      <w:pPr>
        <w:pStyle w:val="NoSpacing"/>
        <w:numPr>
          <w:ilvl w:val="0"/>
          <w:numId w:val="6"/>
        </w:numPr>
        <w:jc w:val="both"/>
        <w:rPr>
          <w:rFonts w:asciiTheme="majorHAnsi" w:hAnsiTheme="majorHAnsi" w:cstheme="majorHAnsi"/>
          <w:bCs/>
        </w:rPr>
      </w:pPr>
      <w:r w:rsidRPr="004F352F">
        <w:rPr>
          <w:rFonts w:asciiTheme="majorHAnsi" w:hAnsiTheme="majorHAnsi" w:cstheme="majorHAnsi"/>
          <w:bCs/>
        </w:rPr>
        <w:t>Συγκριτική Ανάλυση μέσω χρήσης πρόσφατων Συναλλαγών Συγκρίσιμων Εταιριών, από την οποία προκύπτει αποτίμηση του Προτείνοντος που ανέρχεται σε €4,26 ανά μετοχή,</w:t>
      </w:r>
    </w:p>
    <w:p w14:paraId="6BB48F73" w14:textId="5DCABDD7" w:rsidR="007402A0" w:rsidRPr="004F352F" w:rsidRDefault="007402A0" w:rsidP="004F352F">
      <w:pPr>
        <w:pStyle w:val="NoSpacing"/>
        <w:numPr>
          <w:ilvl w:val="0"/>
          <w:numId w:val="6"/>
        </w:numPr>
        <w:jc w:val="both"/>
        <w:rPr>
          <w:rFonts w:asciiTheme="majorHAnsi" w:hAnsiTheme="majorHAnsi" w:cstheme="majorHAnsi"/>
          <w:bCs/>
        </w:rPr>
      </w:pPr>
      <w:r w:rsidRPr="004F352F">
        <w:rPr>
          <w:rFonts w:asciiTheme="majorHAnsi" w:hAnsiTheme="majorHAnsi" w:cstheme="majorHAnsi"/>
          <w:bCs/>
        </w:rPr>
        <w:t>Συγκριτική Ανάλυση Εισηγμένων Εταιριών μέσω χρήσης Δεικτών Κεφαλαιαγοράς, από την οποία προκύπτει αποτίμηση του Προτείνοντος που ανέρχεται σε €4,89 ανά μετοχή.</w:t>
      </w:r>
    </w:p>
    <w:p w14:paraId="04D532E1" w14:textId="5F093078" w:rsidR="007445CF" w:rsidRPr="00765F32" w:rsidRDefault="007445CF" w:rsidP="008752D2">
      <w:pPr>
        <w:spacing w:after="0" w:line="240" w:lineRule="auto"/>
        <w:ind w:left="360"/>
        <w:jc w:val="both"/>
        <w:rPr>
          <w:rFonts w:ascii="Calibri Light" w:eastAsia="MS Mincho" w:hAnsi="Calibri Light" w:cs="Calibri Light"/>
          <w:sz w:val="24"/>
          <w:szCs w:val="24"/>
          <w:lang w:val="el-GR" w:eastAsia="ja-JP"/>
        </w:rPr>
      </w:pPr>
      <w:r>
        <w:rPr>
          <w:rFonts w:ascii="Calibri Light" w:eastAsia="MS Mincho" w:hAnsi="Calibri Light" w:cs="Calibri Light"/>
          <w:sz w:val="24"/>
          <w:szCs w:val="24"/>
          <w:lang w:val="el-GR" w:eastAsia="ja-JP"/>
        </w:rPr>
        <w:t>Με βάση τις ως άνω μεθόδους και σταθμίζοντας κάθε μια από αυτές προκύπτει κεντρική τιμή €4,24 ανά μετοχή</w:t>
      </w:r>
      <w:r w:rsidR="00743B5B">
        <w:rPr>
          <w:rFonts w:ascii="Calibri Light" w:eastAsia="MS Mincho" w:hAnsi="Calibri Light" w:cs="Calibri Light"/>
          <w:sz w:val="24"/>
          <w:szCs w:val="24"/>
          <w:lang w:val="el-GR" w:eastAsia="ja-JP"/>
        </w:rPr>
        <w:t xml:space="preserve"> του Προτείνοντος</w:t>
      </w:r>
      <w:r w:rsidR="00303347">
        <w:rPr>
          <w:rFonts w:ascii="Calibri Light" w:eastAsia="MS Mincho" w:hAnsi="Calibri Light" w:cs="Calibri Light"/>
          <w:sz w:val="24"/>
          <w:szCs w:val="24"/>
          <w:lang w:val="el-GR" w:eastAsia="ja-JP"/>
        </w:rPr>
        <w:t>, όπως φαίνεται και στον κατωτέρω πίνακα:</w:t>
      </w:r>
      <w:r w:rsidR="00765F32" w:rsidRPr="00765F32">
        <w:rPr>
          <w:rFonts w:ascii="Calibri Light" w:eastAsia="MS Mincho" w:hAnsi="Calibri Light" w:cs="Calibri Light"/>
          <w:sz w:val="24"/>
          <w:szCs w:val="24"/>
          <w:lang w:val="el-GR" w:eastAsia="ja-JP"/>
        </w:rPr>
        <w:t xml:space="preserve"> </w:t>
      </w:r>
    </w:p>
    <w:p w14:paraId="14B31457" w14:textId="7AA1207D" w:rsidR="00A01361" w:rsidRDefault="00A01361" w:rsidP="00A01361">
      <w:pPr>
        <w:spacing w:after="0" w:line="240" w:lineRule="auto"/>
        <w:ind w:left="360"/>
        <w:jc w:val="both"/>
        <w:rPr>
          <w:rFonts w:ascii="Calibri Light" w:eastAsia="MS Mincho" w:hAnsi="Calibri Light" w:cs="Calibri Light"/>
          <w:sz w:val="24"/>
          <w:szCs w:val="24"/>
          <w:lang w:val="el-GR" w:eastAsia="ja-JP"/>
        </w:rPr>
      </w:pPr>
    </w:p>
    <w:p w14:paraId="126844D6" w14:textId="3D85A5AE" w:rsidR="00A01361" w:rsidRDefault="00A01361" w:rsidP="00A01361">
      <w:pPr>
        <w:spacing w:after="0" w:line="240" w:lineRule="auto"/>
        <w:ind w:left="360"/>
        <w:jc w:val="both"/>
        <w:rPr>
          <w:rFonts w:ascii="Calibri Light" w:eastAsia="MS Mincho" w:hAnsi="Calibri Light" w:cs="Calibri Light"/>
          <w:sz w:val="24"/>
          <w:szCs w:val="24"/>
          <w:lang w:val="el-GR" w:eastAsia="ja-JP"/>
        </w:rPr>
      </w:pPr>
      <w:r>
        <w:rPr>
          <w:noProof/>
          <w:lang w:val="el-GR" w:eastAsia="el-GR"/>
        </w:rPr>
        <w:drawing>
          <wp:anchor distT="0" distB="0" distL="114300" distR="114300" simplePos="0" relativeHeight="251658752" behindDoc="0" locked="0" layoutInCell="1" allowOverlap="1" wp14:anchorId="4B31D3C9" wp14:editId="51969C1D">
            <wp:simplePos x="0" y="0"/>
            <wp:positionH relativeFrom="column">
              <wp:posOffset>0</wp:posOffset>
            </wp:positionH>
            <wp:positionV relativeFrom="paragraph">
              <wp:posOffset>-635</wp:posOffset>
            </wp:positionV>
            <wp:extent cx="5803900" cy="2145665"/>
            <wp:effectExtent l="0" t="0" r="6350" b="6985"/>
            <wp:wrapNone/>
            <wp:docPr id="3" name="Picture 3"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7"/>
                    <a:srcRect l="23672" t="49387" r="36858" b="24664"/>
                    <a:stretch/>
                  </pic:blipFill>
                  <pic:spPr bwMode="auto">
                    <a:xfrm>
                      <a:off x="0" y="0"/>
                      <a:ext cx="5803900" cy="2145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9CD49DE" w14:textId="248E3563" w:rsidR="00A01361" w:rsidRDefault="00A01361" w:rsidP="00A01361">
      <w:pPr>
        <w:spacing w:after="0" w:line="240" w:lineRule="auto"/>
        <w:ind w:left="360"/>
        <w:jc w:val="both"/>
        <w:rPr>
          <w:rFonts w:ascii="Calibri Light" w:eastAsia="MS Mincho" w:hAnsi="Calibri Light" w:cs="Calibri Light"/>
          <w:sz w:val="24"/>
          <w:szCs w:val="24"/>
          <w:lang w:val="el-GR" w:eastAsia="ja-JP"/>
        </w:rPr>
      </w:pPr>
    </w:p>
    <w:p w14:paraId="7EA2DBF8" w14:textId="5DCBFCE3" w:rsidR="00A01361" w:rsidRDefault="00A01361" w:rsidP="00A01361">
      <w:pPr>
        <w:spacing w:after="0" w:line="240" w:lineRule="auto"/>
        <w:ind w:left="360"/>
        <w:jc w:val="both"/>
        <w:rPr>
          <w:rFonts w:ascii="Calibri Light" w:eastAsia="MS Mincho" w:hAnsi="Calibri Light" w:cs="Calibri Light"/>
          <w:sz w:val="24"/>
          <w:szCs w:val="24"/>
          <w:lang w:val="el-GR" w:eastAsia="ja-JP"/>
        </w:rPr>
      </w:pPr>
    </w:p>
    <w:p w14:paraId="75B179A9" w14:textId="55F02FED" w:rsidR="00A01361" w:rsidRDefault="00A01361" w:rsidP="00A01361">
      <w:pPr>
        <w:spacing w:after="0" w:line="240" w:lineRule="auto"/>
        <w:ind w:left="360"/>
        <w:jc w:val="both"/>
        <w:rPr>
          <w:rFonts w:ascii="Calibri Light" w:eastAsia="MS Mincho" w:hAnsi="Calibri Light" w:cs="Calibri Light"/>
          <w:sz w:val="24"/>
          <w:szCs w:val="24"/>
          <w:lang w:val="el-GR" w:eastAsia="ja-JP"/>
        </w:rPr>
      </w:pPr>
    </w:p>
    <w:p w14:paraId="7A6B7175" w14:textId="6A865FAD" w:rsidR="00A01361" w:rsidRDefault="00A01361" w:rsidP="00A01361">
      <w:pPr>
        <w:spacing w:after="0" w:line="240" w:lineRule="auto"/>
        <w:ind w:left="360"/>
        <w:jc w:val="both"/>
        <w:rPr>
          <w:rFonts w:ascii="Calibri Light" w:eastAsia="MS Mincho" w:hAnsi="Calibri Light" w:cs="Calibri Light"/>
          <w:sz w:val="24"/>
          <w:szCs w:val="24"/>
          <w:lang w:val="el-GR" w:eastAsia="ja-JP"/>
        </w:rPr>
      </w:pPr>
    </w:p>
    <w:p w14:paraId="4011724C" w14:textId="50C1C05A" w:rsidR="00A01361" w:rsidRDefault="00A01361" w:rsidP="00A01361">
      <w:pPr>
        <w:spacing w:after="0" w:line="240" w:lineRule="auto"/>
        <w:ind w:left="360"/>
        <w:jc w:val="both"/>
        <w:rPr>
          <w:rFonts w:ascii="Calibri Light" w:eastAsia="MS Mincho" w:hAnsi="Calibri Light" w:cs="Calibri Light"/>
          <w:sz w:val="24"/>
          <w:szCs w:val="24"/>
          <w:lang w:val="el-GR" w:eastAsia="ja-JP"/>
        </w:rPr>
      </w:pPr>
    </w:p>
    <w:p w14:paraId="33FD2AC4" w14:textId="5D20E1CC" w:rsidR="00A01361" w:rsidRDefault="00A01361" w:rsidP="00A01361">
      <w:pPr>
        <w:spacing w:after="0" w:line="240" w:lineRule="auto"/>
        <w:ind w:left="360"/>
        <w:jc w:val="both"/>
        <w:rPr>
          <w:rFonts w:ascii="Calibri Light" w:eastAsia="MS Mincho" w:hAnsi="Calibri Light" w:cs="Calibri Light"/>
          <w:sz w:val="24"/>
          <w:szCs w:val="24"/>
          <w:lang w:val="el-GR" w:eastAsia="ja-JP"/>
        </w:rPr>
      </w:pPr>
    </w:p>
    <w:p w14:paraId="51832E1E" w14:textId="77777777" w:rsidR="00A01361" w:rsidRPr="008752D2" w:rsidRDefault="00A01361" w:rsidP="008752D2">
      <w:pPr>
        <w:spacing w:after="0" w:line="240" w:lineRule="auto"/>
        <w:ind w:left="360"/>
        <w:jc w:val="both"/>
        <w:rPr>
          <w:rFonts w:ascii="Calibri Light" w:eastAsia="MS Mincho" w:hAnsi="Calibri Light" w:cs="Calibri Light"/>
          <w:sz w:val="24"/>
          <w:szCs w:val="24"/>
          <w:lang w:val="el-GR" w:eastAsia="ja-JP"/>
        </w:rPr>
      </w:pPr>
    </w:p>
    <w:p w14:paraId="098E7412" w14:textId="7378DE47" w:rsidR="00E50563" w:rsidRDefault="0098780B">
      <w:pPr>
        <w:spacing w:after="0" w:line="240" w:lineRule="auto"/>
        <w:ind w:firstLine="360"/>
        <w:jc w:val="both"/>
        <w:rPr>
          <w:rFonts w:ascii="Calibri Light" w:eastAsia="MS Mincho" w:hAnsi="Calibri Light" w:cs="Calibri Light"/>
          <w:sz w:val="24"/>
          <w:szCs w:val="24"/>
          <w:lang w:val="el-GR" w:eastAsia="ja-JP"/>
        </w:rPr>
      </w:pPr>
      <w:r w:rsidRPr="008752D2">
        <w:rPr>
          <w:rFonts w:ascii="Calibri Light" w:eastAsia="MS Mincho" w:hAnsi="Calibri Light" w:cs="Calibri Light"/>
          <w:sz w:val="24"/>
          <w:szCs w:val="24"/>
          <w:lang w:val="el-GR" w:eastAsia="ja-JP"/>
        </w:rPr>
        <w:t xml:space="preserve">Το συμπέρασμα της Έκθεσης του Χρηματοοικονομικού Συμβούλου συνίσταται στο ότι το Προσφερόμενο Αντάλλαγμα εμπίπτει εντός του Εύρους Τιμών, όπως απεικονίζεται στο κατωτέρω γράφημα: </w:t>
      </w:r>
    </w:p>
    <w:p w14:paraId="5388D366" w14:textId="77777777" w:rsidR="0042604D" w:rsidRDefault="0042604D" w:rsidP="00A1633C">
      <w:pPr>
        <w:spacing w:after="0" w:line="240" w:lineRule="auto"/>
        <w:ind w:left="360"/>
        <w:jc w:val="both"/>
        <w:rPr>
          <w:rFonts w:ascii="Calibri Light" w:eastAsia="MS Mincho" w:hAnsi="Calibri Light" w:cs="Calibri Light"/>
          <w:sz w:val="24"/>
          <w:szCs w:val="24"/>
          <w:lang w:val="el-GR" w:eastAsia="ja-JP"/>
        </w:rPr>
      </w:pPr>
    </w:p>
    <w:p w14:paraId="612C467A" w14:textId="0A7289E8" w:rsidR="00743B5B" w:rsidRPr="00ED2F1A" w:rsidRDefault="00743B5B" w:rsidP="00F161C0">
      <w:pPr>
        <w:spacing w:after="0" w:line="240" w:lineRule="auto"/>
        <w:ind w:left="360" w:firstLine="360"/>
        <w:jc w:val="both"/>
        <w:rPr>
          <w:rFonts w:ascii="Calibri Light" w:eastAsia="MS Mincho" w:hAnsi="Calibri Light" w:cs="Calibri Light"/>
          <w:sz w:val="24"/>
          <w:szCs w:val="24"/>
          <w:lang w:val="el-GR" w:eastAsia="ja-JP"/>
        </w:rPr>
      </w:pPr>
      <w:r w:rsidRPr="00A1633C">
        <w:rPr>
          <w:rFonts w:ascii="Calibri Light" w:eastAsia="MS Mincho" w:hAnsi="Calibri Light" w:cs="Calibri Light"/>
          <w:sz w:val="24"/>
          <w:szCs w:val="24"/>
          <w:lang w:val="el-GR" w:eastAsia="ja-JP"/>
        </w:rPr>
        <w:t xml:space="preserve">Το συμπέρασμα της Έκθεσης του Χρηματοοικονομικού Συμβούλου συνίσταται στο ότι το Προσφερόμενο Αντάλλαγμα </w:t>
      </w:r>
      <w:r w:rsidR="00637991">
        <w:rPr>
          <w:rFonts w:ascii="Calibri Light" w:eastAsia="MS Mincho" w:hAnsi="Calibri Light" w:cs="Calibri Light"/>
          <w:sz w:val="24"/>
          <w:szCs w:val="24"/>
          <w:lang w:val="el-GR" w:eastAsia="ja-JP"/>
        </w:rPr>
        <w:t xml:space="preserve">(€2,10 + 0,3975590 </w:t>
      </w:r>
      <w:r w:rsidR="00637991">
        <w:rPr>
          <w:rFonts w:ascii="Calibri Light" w:eastAsia="MS Mincho" w:hAnsi="Calibri Light" w:cs="Calibri Light"/>
          <w:sz w:val="24"/>
          <w:szCs w:val="24"/>
          <w:lang w:val="en-US" w:eastAsia="ja-JP"/>
        </w:rPr>
        <w:t>x</w:t>
      </w:r>
      <w:r w:rsidR="00637991">
        <w:rPr>
          <w:rFonts w:ascii="Calibri Light" w:eastAsia="MS Mincho" w:hAnsi="Calibri Light" w:cs="Calibri Light"/>
          <w:sz w:val="24"/>
          <w:szCs w:val="24"/>
          <w:lang w:val="el-GR" w:eastAsia="ja-JP"/>
        </w:rPr>
        <w:t xml:space="preserve"> €</w:t>
      </w:r>
      <w:r w:rsidR="00637991" w:rsidRPr="00637991">
        <w:rPr>
          <w:rFonts w:ascii="Calibri Light" w:eastAsia="MS Mincho" w:hAnsi="Calibri Light" w:cs="Calibri Light"/>
          <w:sz w:val="24"/>
          <w:szCs w:val="24"/>
          <w:lang w:val="el-GR" w:eastAsia="ja-JP"/>
        </w:rPr>
        <w:t>4,24</w:t>
      </w:r>
      <w:r w:rsidR="00637991">
        <w:rPr>
          <w:rFonts w:ascii="Calibri Light" w:eastAsia="MS Mincho" w:hAnsi="Calibri Light" w:cs="Calibri Light"/>
          <w:sz w:val="24"/>
          <w:szCs w:val="24"/>
          <w:lang w:val="el-GR" w:eastAsia="ja-JP"/>
        </w:rPr>
        <w:t xml:space="preserve"> </w:t>
      </w:r>
      <w:r w:rsidR="00637991" w:rsidRPr="00637991">
        <w:rPr>
          <w:rFonts w:ascii="Calibri Light" w:eastAsia="MS Mincho" w:hAnsi="Calibri Light" w:cs="Calibri Light"/>
          <w:sz w:val="24"/>
          <w:szCs w:val="24"/>
          <w:lang w:val="el-GR" w:eastAsia="ja-JP"/>
        </w:rPr>
        <w:t>=</w:t>
      </w:r>
      <w:r w:rsidR="00637991">
        <w:rPr>
          <w:rFonts w:ascii="Calibri Light" w:eastAsia="MS Mincho" w:hAnsi="Calibri Light" w:cs="Calibri Light"/>
          <w:sz w:val="24"/>
          <w:szCs w:val="24"/>
          <w:lang w:val="el-GR" w:eastAsia="ja-JP"/>
        </w:rPr>
        <w:t xml:space="preserve"> </w:t>
      </w:r>
      <w:r w:rsidR="00637991" w:rsidRPr="00637991">
        <w:rPr>
          <w:rFonts w:ascii="Calibri Light" w:eastAsia="MS Mincho" w:hAnsi="Calibri Light" w:cs="Calibri Light"/>
          <w:sz w:val="24"/>
          <w:szCs w:val="24"/>
          <w:lang w:val="el-GR" w:eastAsia="ja-JP"/>
        </w:rPr>
        <w:t xml:space="preserve">€3,79) </w:t>
      </w:r>
      <w:r w:rsidR="00637991">
        <w:rPr>
          <w:rFonts w:ascii="Calibri Light" w:eastAsia="MS Mincho" w:hAnsi="Calibri Light" w:cs="Calibri Light"/>
          <w:sz w:val="24"/>
          <w:szCs w:val="24"/>
          <w:lang w:val="el-GR" w:eastAsia="ja-JP"/>
        </w:rPr>
        <w:t xml:space="preserve">είναι δίκαιο και εύλογο και </w:t>
      </w:r>
      <w:r w:rsidRPr="00A1633C">
        <w:rPr>
          <w:rFonts w:ascii="Calibri Light" w:eastAsia="MS Mincho" w:hAnsi="Calibri Light" w:cs="Calibri Light"/>
          <w:sz w:val="24"/>
          <w:szCs w:val="24"/>
          <w:lang w:val="el-GR" w:eastAsia="ja-JP"/>
        </w:rPr>
        <w:t>εμπίπτει εντός του Εύρους Τιμών, όπως απεικονίζεται στο κατωτέρω γράφημα:</w:t>
      </w:r>
    </w:p>
    <w:p w14:paraId="39FD2AEC" w14:textId="77777777" w:rsidR="00D6735B" w:rsidRPr="00ED2F1A" w:rsidRDefault="00D6735B" w:rsidP="00F161C0">
      <w:pPr>
        <w:spacing w:after="0" w:line="240" w:lineRule="auto"/>
        <w:ind w:left="360" w:firstLine="360"/>
        <w:jc w:val="both"/>
        <w:rPr>
          <w:rFonts w:ascii="Calibri Light" w:eastAsia="MS Mincho" w:hAnsi="Calibri Light" w:cs="Calibri Light"/>
          <w:sz w:val="24"/>
          <w:szCs w:val="24"/>
          <w:lang w:val="el-GR" w:eastAsia="ja-JP"/>
        </w:rPr>
      </w:pPr>
    </w:p>
    <w:p w14:paraId="554848B7" w14:textId="0DBE2A4B" w:rsidR="00A95845" w:rsidRDefault="000A0C26" w:rsidP="00E50563">
      <w:pPr>
        <w:spacing w:before="100" w:beforeAutospacing="1" w:after="100" w:afterAutospacing="1" w:line="240" w:lineRule="auto"/>
        <w:jc w:val="both"/>
        <w:rPr>
          <w:rFonts w:asciiTheme="majorHAnsi" w:hAnsiTheme="majorHAnsi" w:cstheme="majorHAnsi"/>
          <w:b/>
          <w:sz w:val="24"/>
          <w:szCs w:val="24"/>
          <w:lang w:val="el-GR"/>
        </w:rPr>
      </w:pPr>
      <w:r>
        <w:rPr>
          <w:noProof/>
          <w:lang w:val="el-GR" w:eastAsia="el-GR"/>
        </w:rPr>
        <w:lastRenderedPageBreak/>
        <w:drawing>
          <wp:anchor distT="0" distB="0" distL="114300" distR="114300" simplePos="0" relativeHeight="251657728" behindDoc="0" locked="0" layoutInCell="1" allowOverlap="1" wp14:anchorId="68A8F1B2" wp14:editId="5081357B">
            <wp:simplePos x="0" y="0"/>
            <wp:positionH relativeFrom="column">
              <wp:posOffset>704850</wp:posOffset>
            </wp:positionH>
            <wp:positionV relativeFrom="paragraph">
              <wp:posOffset>-57150</wp:posOffset>
            </wp:positionV>
            <wp:extent cx="4648200" cy="2753011"/>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1575" t="42250" r="29703" b="16978"/>
                    <a:stretch/>
                  </pic:blipFill>
                  <pic:spPr bwMode="auto">
                    <a:xfrm>
                      <a:off x="0" y="0"/>
                      <a:ext cx="4648200" cy="27530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92A606" w14:textId="3D260DC9" w:rsidR="000A0C26" w:rsidRDefault="000A0C26" w:rsidP="00E50563">
      <w:pPr>
        <w:spacing w:before="100" w:beforeAutospacing="1" w:after="100" w:afterAutospacing="1" w:line="240" w:lineRule="auto"/>
        <w:jc w:val="both"/>
        <w:rPr>
          <w:rFonts w:asciiTheme="majorHAnsi" w:hAnsiTheme="majorHAnsi" w:cstheme="majorHAnsi"/>
          <w:b/>
          <w:sz w:val="24"/>
          <w:szCs w:val="24"/>
          <w:lang w:val="el-GR"/>
        </w:rPr>
      </w:pPr>
    </w:p>
    <w:p w14:paraId="6E648856" w14:textId="658EF07C" w:rsidR="000A0C26" w:rsidRDefault="000A0C26" w:rsidP="00E50563">
      <w:pPr>
        <w:spacing w:before="100" w:beforeAutospacing="1" w:after="100" w:afterAutospacing="1" w:line="240" w:lineRule="auto"/>
        <w:jc w:val="both"/>
        <w:rPr>
          <w:rFonts w:asciiTheme="majorHAnsi" w:hAnsiTheme="majorHAnsi" w:cstheme="majorHAnsi"/>
          <w:b/>
          <w:sz w:val="24"/>
          <w:szCs w:val="24"/>
          <w:lang w:val="el-GR"/>
        </w:rPr>
      </w:pPr>
    </w:p>
    <w:p w14:paraId="2460D646" w14:textId="200F806A" w:rsidR="000A0C26" w:rsidRDefault="000A0C26" w:rsidP="00E50563">
      <w:pPr>
        <w:spacing w:before="100" w:beforeAutospacing="1" w:after="100" w:afterAutospacing="1" w:line="240" w:lineRule="auto"/>
        <w:jc w:val="both"/>
        <w:rPr>
          <w:rFonts w:asciiTheme="majorHAnsi" w:hAnsiTheme="majorHAnsi" w:cstheme="majorHAnsi"/>
          <w:b/>
          <w:sz w:val="24"/>
          <w:szCs w:val="24"/>
          <w:lang w:val="el-GR"/>
        </w:rPr>
      </w:pPr>
    </w:p>
    <w:p w14:paraId="4BE7B79B" w14:textId="6FC0C61E" w:rsidR="00F161C0" w:rsidRDefault="00F161C0" w:rsidP="00F752B9">
      <w:pPr>
        <w:spacing w:after="0" w:line="240" w:lineRule="auto"/>
        <w:ind w:left="360"/>
        <w:jc w:val="both"/>
        <w:rPr>
          <w:rFonts w:ascii="Calibri Light" w:eastAsia="MS Mincho" w:hAnsi="Calibri Light" w:cs="Calibri Light"/>
          <w:sz w:val="24"/>
          <w:szCs w:val="24"/>
          <w:lang w:val="el-GR" w:eastAsia="ja-JP"/>
        </w:rPr>
      </w:pPr>
    </w:p>
    <w:p w14:paraId="517D5233" w14:textId="4FC75E8B" w:rsidR="000A0C26" w:rsidRDefault="000A0C26" w:rsidP="00F752B9">
      <w:pPr>
        <w:spacing w:after="0" w:line="240" w:lineRule="auto"/>
        <w:ind w:left="360"/>
        <w:jc w:val="both"/>
        <w:rPr>
          <w:rFonts w:ascii="Calibri Light" w:eastAsia="MS Mincho" w:hAnsi="Calibri Light" w:cs="Calibri Light"/>
          <w:sz w:val="24"/>
          <w:szCs w:val="24"/>
          <w:lang w:val="el-GR" w:eastAsia="ja-JP"/>
        </w:rPr>
      </w:pPr>
    </w:p>
    <w:p w14:paraId="2E82E98B" w14:textId="6F463450" w:rsidR="000A0C26" w:rsidRDefault="000A0C26" w:rsidP="00F752B9">
      <w:pPr>
        <w:spacing w:after="0" w:line="240" w:lineRule="auto"/>
        <w:ind w:left="360"/>
        <w:jc w:val="both"/>
        <w:rPr>
          <w:rFonts w:ascii="Calibri Light" w:eastAsia="MS Mincho" w:hAnsi="Calibri Light" w:cs="Calibri Light"/>
          <w:sz w:val="24"/>
          <w:szCs w:val="24"/>
          <w:lang w:val="el-GR" w:eastAsia="ja-JP"/>
        </w:rPr>
      </w:pPr>
    </w:p>
    <w:p w14:paraId="7351D174" w14:textId="24DD3AAA" w:rsidR="000A0C26" w:rsidRDefault="000A0C26" w:rsidP="00F752B9">
      <w:pPr>
        <w:spacing w:after="0" w:line="240" w:lineRule="auto"/>
        <w:ind w:left="360"/>
        <w:jc w:val="both"/>
        <w:rPr>
          <w:rFonts w:ascii="Calibri Light" w:eastAsia="MS Mincho" w:hAnsi="Calibri Light" w:cs="Calibri Light"/>
          <w:sz w:val="24"/>
          <w:szCs w:val="24"/>
          <w:lang w:val="el-GR" w:eastAsia="ja-JP"/>
        </w:rPr>
      </w:pPr>
    </w:p>
    <w:p w14:paraId="56205869" w14:textId="31EC8704" w:rsidR="000A0C26" w:rsidRDefault="000A0C26" w:rsidP="00F752B9">
      <w:pPr>
        <w:spacing w:after="0" w:line="240" w:lineRule="auto"/>
        <w:ind w:left="360"/>
        <w:jc w:val="both"/>
        <w:rPr>
          <w:rFonts w:ascii="Calibri Light" w:eastAsia="MS Mincho" w:hAnsi="Calibri Light" w:cs="Calibri Light"/>
          <w:sz w:val="24"/>
          <w:szCs w:val="24"/>
          <w:lang w:val="el-GR" w:eastAsia="ja-JP"/>
        </w:rPr>
      </w:pPr>
    </w:p>
    <w:p w14:paraId="5A047A3F" w14:textId="78D29BE6" w:rsidR="000A0C26" w:rsidRDefault="000A0C26" w:rsidP="00F752B9">
      <w:pPr>
        <w:spacing w:after="0" w:line="240" w:lineRule="auto"/>
        <w:ind w:left="360"/>
        <w:jc w:val="both"/>
        <w:rPr>
          <w:rFonts w:ascii="Calibri Light" w:eastAsia="MS Mincho" w:hAnsi="Calibri Light" w:cs="Calibri Light"/>
          <w:sz w:val="24"/>
          <w:szCs w:val="24"/>
          <w:lang w:val="el-GR" w:eastAsia="ja-JP"/>
        </w:rPr>
      </w:pPr>
    </w:p>
    <w:p w14:paraId="42B3BEAA" w14:textId="77777777" w:rsidR="000A0C26" w:rsidRDefault="000A0C26" w:rsidP="00F752B9">
      <w:pPr>
        <w:spacing w:after="0" w:line="240" w:lineRule="auto"/>
        <w:ind w:left="360"/>
        <w:jc w:val="both"/>
        <w:rPr>
          <w:rFonts w:ascii="Calibri Light" w:eastAsia="MS Mincho" w:hAnsi="Calibri Light" w:cs="Calibri Light"/>
          <w:sz w:val="24"/>
          <w:szCs w:val="24"/>
          <w:lang w:val="el-GR" w:eastAsia="ja-JP"/>
        </w:rPr>
      </w:pPr>
    </w:p>
    <w:p w14:paraId="137B8DA7" w14:textId="77777777" w:rsidR="00F161C0" w:rsidRDefault="00F161C0" w:rsidP="00F752B9">
      <w:pPr>
        <w:spacing w:after="0" w:line="240" w:lineRule="auto"/>
        <w:ind w:left="360"/>
        <w:jc w:val="both"/>
        <w:rPr>
          <w:rFonts w:ascii="Calibri Light" w:eastAsia="MS Mincho" w:hAnsi="Calibri Light" w:cs="Calibri Light"/>
          <w:sz w:val="24"/>
          <w:szCs w:val="24"/>
          <w:lang w:val="el-GR" w:eastAsia="ja-JP"/>
        </w:rPr>
      </w:pPr>
    </w:p>
    <w:p w14:paraId="3AEDA589" w14:textId="424D41A2" w:rsidR="00F752B9" w:rsidRPr="00F752B9" w:rsidRDefault="00F752B9" w:rsidP="00F161C0">
      <w:pPr>
        <w:spacing w:after="0" w:line="240" w:lineRule="auto"/>
        <w:ind w:left="360" w:firstLine="360"/>
        <w:jc w:val="both"/>
        <w:rPr>
          <w:rFonts w:ascii="Calibri Light" w:eastAsia="MS Mincho" w:hAnsi="Calibri Light" w:cs="Calibri Light"/>
          <w:sz w:val="24"/>
          <w:szCs w:val="24"/>
          <w:lang w:val="el-GR" w:eastAsia="ja-JP"/>
        </w:rPr>
      </w:pPr>
      <w:r w:rsidRPr="00F752B9">
        <w:rPr>
          <w:rFonts w:ascii="Calibri Light" w:eastAsia="MS Mincho" w:hAnsi="Calibri Light" w:cs="Calibri Light"/>
          <w:sz w:val="24"/>
          <w:szCs w:val="24"/>
          <w:lang w:val="el-GR" w:eastAsia="ja-JP"/>
        </w:rPr>
        <w:t>Συνημμένη στην παρούσα ολόκληρη η λεπτομερής Έκθεση του Χρηματοοικονομικού Συμβούλου.</w:t>
      </w:r>
    </w:p>
    <w:p w14:paraId="390793E8" w14:textId="40A5C25D" w:rsidR="00E50563" w:rsidRPr="00CF445B" w:rsidRDefault="00E50563" w:rsidP="00E50563">
      <w:pPr>
        <w:spacing w:before="100" w:beforeAutospacing="1" w:after="100" w:afterAutospacing="1" w:line="240" w:lineRule="auto"/>
        <w:jc w:val="both"/>
        <w:rPr>
          <w:rFonts w:asciiTheme="majorHAnsi" w:hAnsiTheme="majorHAnsi" w:cstheme="majorHAnsi"/>
          <w:b/>
          <w:sz w:val="24"/>
          <w:szCs w:val="24"/>
          <w:lang w:val="el-GR"/>
        </w:rPr>
      </w:pPr>
      <w:r w:rsidRPr="00CF445B">
        <w:rPr>
          <w:rFonts w:asciiTheme="majorHAnsi" w:hAnsiTheme="majorHAnsi" w:cstheme="majorHAnsi"/>
          <w:b/>
          <w:sz w:val="24"/>
          <w:szCs w:val="24"/>
          <w:lang w:val="el-GR"/>
        </w:rPr>
        <w:t>2.4.2. Το Προσφερόμενο Αντάλλαγμα</w:t>
      </w:r>
      <w:r w:rsidR="001C5AC1">
        <w:rPr>
          <w:rFonts w:asciiTheme="majorHAnsi" w:hAnsiTheme="majorHAnsi" w:cstheme="majorHAnsi"/>
          <w:b/>
          <w:sz w:val="24"/>
          <w:szCs w:val="24"/>
          <w:lang w:val="el-GR"/>
        </w:rPr>
        <w:t>.</w:t>
      </w:r>
      <w:r w:rsidRPr="00CF445B">
        <w:rPr>
          <w:rFonts w:asciiTheme="majorHAnsi" w:hAnsiTheme="majorHAnsi" w:cstheme="majorHAnsi"/>
          <w:b/>
          <w:sz w:val="24"/>
          <w:szCs w:val="24"/>
          <w:lang w:val="el-GR"/>
        </w:rPr>
        <w:t xml:space="preserve"> </w:t>
      </w:r>
    </w:p>
    <w:p w14:paraId="72C1FC0D" w14:textId="77777777" w:rsidR="00E50563" w:rsidRDefault="00E50563" w:rsidP="00E50563">
      <w:pPr>
        <w:pStyle w:val="NoSpacing"/>
        <w:ind w:firstLine="360"/>
        <w:jc w:val="both"/>
        <w:rPr>
          <w:rFonts w:asciiTheme="majorHAnsi" w:hAnsiTheme="majorHAnsi" w:cstheme="majorHAnsi"/>
        </w:rPr>
      </w:pPr>
      <w:r w:rsidRPr="00CF445B">
        <w:rPr>
          <w:rFonts w:asciiTheme="majorHAnsi" w:hAnsiTheme="majorHAnsi" w:cstheme="majorHAnsi"/>
        </w:rPr>
        <w:t>Ο Προτείνων έχει δηλώσει ότι προσφέρει για κάθε εγκύρως προσφερθείσα και μεταβιβασθείσα Μετοχή της Δημόσιας Πρότασης, ποσό ύψους €2,10 σε μετρητά πλέον 0,397590 νέας κοινής ονομαστικής μετοχής του Προτείνοντος που θα εκδοθεί δυνάμει της ΑΜΚ βάσει της Σχέσης Ανταλλαγής. Σε περίπτωση που κατά την ανταλλαγή προκύψουν κλασματικά υπόλοιπα μετοχών του Προτείνοντος, αυτά θα αποδοθούν στους κατόχους κατόπιν της διαδικασίας του άρθρου 7 παρ. 4 Ν. 4569/2018 σε συνδ. με άρθρο 2.3.13.2.1 Κανονισμού Χ.Α.</w:t>
      </w:r>
    </w:p>
    <w:p w14:paraId="42D3E55D" w14:textId="4B00581D" w:rsidR="00744EB9" w:rsidRPr="0043245B" w:rsidRDefault="00744EB9" w:rsidP="00E50563">
      <w:pPr>
        <w:pStyle w:val="NoSpacing"/>
        <w:ind w:firstLine="360"/>
        <w:jc w:val="both"/>
        <w:rPr>
          <w:rFonts w:asciiTheme="majorHAnsi" w:hAnsiTheme="majorHAnsi" w:cstheme="majorHAnsi"/>
        </w:rPr>
      </w:pPr>
      <w:r>
        <w:rPr>
          <w:rFonts w:asciiTheme="majorHAnsi" w:hAnsiTheme="majorHAnsi" w:cstheme="majorHAnsi"/>
        </w:rPr>
        <w:t xml:space="preserve">Όπως προβλέπεται </w:t>
      </w:r>
      <w:r w:rsidR="0043245B">
        <w:rPr>
          <w:rFonts w:asciiTheme="majorHAnsi" w:hAnsiTheme="majorHAnsi" w:cstheme="majorHAnsi"/>
        </w:rPr>
        <w:t>κατ’ άρθρο 9 παρ. 5 (β) του Νόμου, για την τιμή της μετοχής του Προτείνοντα που παρέχεται ως αντάλλαγμα, λαμβάνεται υπόψιν η ΜΣΧΤ αυτής κατά τους έξι μήνες που προηγούνται της Ημερομηνίας της Δημόσιας Πρότασης, όπου εν προκειμένω η ΜΣΧΤ της μετοχής του Προτείνοντος κατά τους έξι μήνες που προηγούνται της 01.07.2022, είναι €3,50959.</w:t>
      </w:r>
      <w:r w:rsidR="00D41932">
        <w:rPr>
          <w:rFonts w:asciiTheme="majorHAnsi" w:hAnsiTheme="majorHAnsi" w:cstheme="majorHAnsi"/>
        </w:rPr>
        <w:t xml:space="preserve"> Επομένως, το 0,397590 της μετοχής του Προτείνοντα που δίδεται ως αντάλλαγμα ισούται με €1,40 ανά μετοχή, αθροιζόμενο δε με το ποσό των €2,10 που δίδεται ως αντάλλαγμα σε μετρητά ισούται με €3,495 ανά Μετοχή της Εταιρείας.</w:t>
      </w:r>
    </w:p>
    <w:p w14:paraId="16EF7796" w14:textId="77777777" w:rsidR="00E50563" w:rsidRPr="00CF445B" w:rsidRDefault="00E50563" w:rsidP="00E50563">
      <w:pPr>
        <w:pStyle w:val="NoSpacing"/>
        <w:ind w:firstLine="360"/>
        <w:jc w:val="both"/>
        <w:rPr>
          <w:rFonts w:asciiTheme="majorHAnsi" w:hAnsiTheme="majorHAnsi" w:cstheme="majorHAnsi"/>
        </w:rPr>
      </w:pPr>
      <w:r w:rsidRPr="00CF445B">
        <w:rPr>
          <w:rFonts w:asciiTheme="majorHAnsi" w:hAnsiTheme="majorHAnsi" w:cstheme="majorHAnsi"/>
        </w:rPr>
        <w:t>Σύμφωνα με την ενότητα 1.9. του Πληροφοριακού Δελτίου, το Προσφερόμενο Αντάλλαγμα πληροί τα κριτήρια του «δίκαιου και εύλογου» ανταλλάγματος, όπως αυτά περιγράφονται στο άρθρο 9, παράγραφοι 4 και 5 του Νόμου.</w:t>
      </w:r>
    </w:p>
    <w:p w14:paraId="7BCB6884" w14:textId="77777777" w:rsidR="00E50563" w:rsidRPr="00CF445B" w:rsidRDefault="00E50563" w:rsidP="00E50563">
      <w:pPr>
        <w:pStyle w:val="NoSpacing"/>
        <w:ind w:firstLine="360"/>
        <w:jc w:val="both"/>
        <w:rPr>
          <w:rFonts w:asciiTheme="majorHAnsi" w:hAnsiTheme="majorHAnsi" w:cstheme="majorHAnsi"/>
        </w:rPr>
      </w:pPr>
      <w:r w:rsidRPr="00CF445B">
        <w:rPr>
          <w:rFonts w:asciiTheme="majorHAnsi" w:hAnsiTheme="majorHAnsi" w:cstheme="majorHAnsi"/>
        </w:rPr>
        <w:t>Ειδικότερα, το ποσό αυτό, κατά την Ημερομηνία της Δημόσιας Πρότασης, υπερβαίνει:</w:t>
      </w:r>
    </w:p>
    <w:p w14:paraId="4575848B" w14:textId="77777777" w:rsidR="00E50563" w:rsidRPr="00CF445B" w:rsidRDefault="00E50563" w:rsidP="00E50563">
      <w:pPr>
        <w:pStyle w:val="NoSpacing"/>
        <w:ind w:firstLine="360"/>
        <w:jc w:val="both"/>
        <w:rPr>
          <w:rFonts w:asciiTheme="majorHAnsi" w:hAnsiTheme="majorHAnsi" w:cstheme="majorHAnsi"/>
        </w:rPr>
      </w:pPr>
      <w:r w:rsidRPr="00CF445B">
        <w:rPr>
          <w:rFonts w:asciiTheme="majorHAnsi" w:hAnsiTheme="majorHAnsi" w:cstheme="majorHAnsi"/>
        </w:rPr>
        <w:t>- κατά 9,14% το δίκαιο και εύλογο αντάλλαγμα, όπως ορίζεται στο άρθρο 9 παρ. 4 και 5, καθώς αφενός μεν η ΜΣΧΤ της Εταιρείας κατά τους κατά τους έξι μήνες που προηγούνται της Δημόσιας Πρότασης είναι €3,20243, αφετέρου δε ούτε ο Προτείνων, ούτε κάποιο από τα Πρόσωπα που Ενεργούν Συντονισμένα με τον Προτείνοντα απέκτησαν Μετοχές κατά τους δώδεκα (12) μήνες που προηγούνται της Ημερομηνίας της Δημόσιας Πρότασης.</w:t>
      </w:r>
    </w:p>
    <w:p w14:paraId="486A9440" w14:textId="77777777" w:rsidR="00E50563" w:rsidRPr="00CF445B" w:rsidRDefault="00E50563" w:rsidP="00E50563">
      <w:pPr>
        <w:pStyle w:val="NoSpacing"/>
        <w:ind w:firstLine="360"/>
        <w:jc w:val="both"/>
        <w:rPr>
          <w:rFonts w:asciiTheme="majorHAnsi" w:hAnsiTheme="majorHAnsi" w:cstheme="majorHAnsi"/>
        </w:rPr>
      </w:pPr>
      <w:r w:rsidRPr="00CF445B">
        <w:rPr>
          <w:rFonts w:asciiTheme="majorHAnsi" w:hAnsiTheme="majorHAnsi" w:cstheme="majorHAnsi"/>
        </w:rPr>
        <w:t>- κατά 9,22% την τιμή κλεισίματος της Μετοχής στο Χρηματιστήριο κατά την ημερομηνία που προηγείτο της Ημερομηνίας της Δημόσιας Πρότασης, η οποία ανερχόταν σε €3,20.</w:t>
      </w:r>
    </w:p>
    <w:p w14:paraId="3BC6273A" w14:textId="77777777" w:rsidR="00E50563" w:rsidRPr="00CF445B" w:rsidRDefault="00E50563" w:rsidP="00E50563">
      <w:pPr>
        <w:pStyle w:val="NoSpacing"/>
        <w:ind w:firstLine="360"/>
        <w:jc w:val="both"/>
        <w:rPr>
          <w:rFonts w:asciiTheme="majorHAnsi" w:hAnsiTheme="majorHAnsi" w:cstheme="majorHAnsi"/>
        </w:rPr>
      </w:pPr>
      <w:r w:rsidRPr="00CF445B">
        <w:rPr>
          <w:rFonts w:asciiTheme="majorHAnsi" w:hAnsiTheme="majorHAnsi" w:cstheme="majorHAnsi"/>
        </w:rPr>
        <w:lastRenderedPageBreak/>
        <w:t>Σημειώνεται ότι δεν απαιτείται η διενέργεια αποτίμησης για την Εταιρεία βάσει των διατάξεων της παρ. 6 του άρθρου 9 του Νόμου, καθώς δεν συντρέχει καμία από τις εκεί αναφερόμενες προϋποθέσεις, ήτοι:</w:t>
      </w:r>
    </w:p>
    <w:p w14:paraId="3BDBBCF4" w14:textId="77777777" w:rsidR="00E50563" w:rsidRPr="00CF445B" w:rsidRDefault="00E50563" w:rsidP="00E50563">
      <w:pPr>
        <w:pStyle w:val="NoSpacing"/>
        <w:ind w:firstLine="360"/>
        <w:jc w:val="both"/>
        <w:rPr>
          <w:rFonts w:asciiTheme="majorHAnsi" w:hAnsiTheme="majorHAnsi" w:cstheme="majorHAnsi"/>
        </w:rPr>
      </w:pPr>
      <w:r w:rsidRPr="00CF445B">
        <w:rPr>
          <w:rFonts w:asciiTheme="majorHAnsi" w:hAnsiTheme="majorHAnsi" w:cstheme="majorHAnsi"/>
        </w:rPr>
        <w:t>- δεν έχουν επιβληθεί κυρώσεις από το Δ.Σ. της Επιτροπής Κεφαλαιαγοράς για χειραγώγηση επί των Μετοχών που έλαβε χώρα εντός του χρονικού διαστήματος 18 μηνών που προηγείται της Ημερομηνίας Δημόσιας Πρότασης,</w:t>
      </w:r>
    </w:p>
    <w:p w14:paraId="77ECB128" w14:textId="77777777" w:rsidR="00E50563" w:rsidRPr="00CF445B" w:rsidRDefault="00E50563" w:rsidP="00E50563">
      <w:pPr>
        <w:pStyle w:val="NoSpacing"/>
        <w:ind w:firstLine="360"/>
        <w:jc w:val="both"/>
        <w:rPr>
          <w:rFonts w:asciiTheme="majorHAnsi" w:hAnsiTheme="majorHAnsi" w:cstheme="majorHAnsi"/>
        </w:rPr>
      </w:pPr>
      <w:r w:rsidRPr="00CF445B">
        <w:rPr>
          <w:rFonts w:asciiTheme="majorHAnsi" w:hAnsiTheme="majorHAnsi" w:cstheme="majorHAnsi"/>
        </w:rPr>
        <w:t>- κατά τους έξι (6) μήνες που προηγούνται της Ημερομηνίας της Δημόσιας Πρότασης, (i) έχουν διενεργηθεί συναλλαγές επί Μετοχών στο Χ.Α. σε περισσότερες από τα τρία πέμπτα (3/5) των ημερών λειτουργίας της οικείας αγοράς, και συγκεκριμένα, ανήλθαν σε 100% αυτών και (ii) οι συναλλαγές επί Μετοχών που έχουν πραγματοποιηθεί υπερβαίνουν το δέκα τοις εκατό (10%) του συνόλου των κινητών αξιών της Εταιρείας, και συγκεκριμένα, ανήλθαν σε 15,23% αυτών.</w:t>
      </w:r>
    </w:p>
    <w:p w14:paraId="4E554789" w14:textId="77777777" w:rsidR="00E50563" w:rsidRPr="00CF445B" w:rsidRDefault="00E50563" w:rsidP="00E50563">
      <w:pPr>
        <w:pStyle w:val="NoSpacing"/>
        <w:ind w:firstLine="360"/>
        <w:jc w:val="both"/>
        <w:rPr>
          <w:rFonts w:asciiTheme="majorHAnsi" w:hAnsiTheme="majorHAnsi" w:cstheme="majorHAnsi"/>
        </w:rPr>
      </w:pPr>
      <w:r w:rsidRPr="00CF445B">
        <w:rPr>
          <w:rFonts w:asciiTheme="majorHAnsi" w:hAnsiTheme="majorHAnsi" w:cstheme="majorHAnsi"/>
        </w:rPr>
        <w:t>- το εύλογο και δίκαιο αντάλλαγμα όπως προσδιορίζεται με τα κριτήρια της παραγράφου 4 του Νόμου, υπερβαίνει το ογδόντα τοις εκατό (80%) της λογιστικής αξίας ανά μετοχή, με βάση τα στοιχεία του μέσου όρου των τελευταίων δύο δημοσιευμένων οικονομικών καταστάσεων του ν. 3556/2007, σε ενοποιημένη βάση.</w:t>
      </w:r>
    </w:p>
    <w:p w14:paraId="5D96857A" w14:textId="7D1C4591" w:rsidR="00E50563" w:rsidRPr="00CF445B" w:rsidRDefault="00E50563" w:rsidP="00E50563">
      <w:pPr>
        <w:spacing w:before="100" w:beforeAutospacing="1" w:after="100" w:afterAutospacing="1" w:line="240" w:lineRule="auto"/>
        <w:jc w:val="both"/>
        <w:rPr>
          <w:rFonts w:asciiTheme="majorHAnsi" w:hAnsiTheme="majorHAnsi" w:cstheme="majorHAnsi"/>
          <w:b/>
          <w:sz w:val="24"/>
          <w:szCs w:val="24"/>
          <w:lang w:val="el-GR"/>
        </w:rPr>
      </w:pPr>
      <w:r w:rsidRPr="00CF445B">
        <w:rPr>
          <w:rFonts w:asciiTheme="majorHAnsi" w:hAnsiTheme="majorHAnsi" w:cstheme="majorHAnsi"/>
          <w:b/>
          <w:sz w:val="24"/>
          <w:szCs w:val="24"/>
          <w:lang w:val="el-GR"/>
        </w:rPr>
        <w:t>2.4.3. Τα Έξοδα</w:t>
      </w:r>
      <w:r w:rsidR="001C5AC1">
        <w:rPr>
          <w:rFonts w:asciiTheme="majorHAnsi" w:hAnsiTheme="majorHAnsi" w:cstheme="majorHAnsi"/>
          <w:b/>
          <w:sz w:val="24"/>
          <w:szCs w:val="24"/>
          <w:lang w:val="el-GR"/>
        </w:rPr>
        <w:t>.</w:t>
      </w:r>
    </w:p>
    <w:p w14:paraId="728B74CE" w14:textId="77777777" w:rsidR="00E50563" w:rsidRPr="00CF445B" w:rsidRDefault="00E50563" w:rsidP="00E50563">
      <w:pPr>
        <w:pStyle w:val="NoSpacing"/>
        <w:ind w:firstLine="360"/>
        <w:jc w:val="both"/>
        <w:rPr>
          <w:rFonts w:asciiTheme="majorHAnsi" w:hAnsiTheme="majorHAnsi" w:cstheme="majorHAnsi"/>
        </w:rPr>
      </w:pPr>
      <w:r w:rsidRPr="00CF445B">
        <w:rPr>
          <w:rFonts w:asciiTheme="majorHAnsi" w:hAnsiTheme="majorHAnsi" w:cstheme="majorHAnsi"/>
        </w:rPr>
        <w:t xml:space="preserve">Σύμφωνα με την ενότητα 1.9. του Πληροφοριακού Δελτίου, ο Προτείνων θα αναλάβει για λογαριασμό των Αποδεχόμενων Μετόχων την καταβολή των δικαιωμάτων υπέρ της ΕΛ.Κ.Α.Τ., για την καταχώριση της </w:t>
      </w:r>
      <w:proofErr w:type="spellStart"/>
      <w:r w:rsidRPr="00CF445B">
        <w:rPr>
          <w:rFonts w:asciiTheme="majorHAnsi" w:hAnsiTheme="majorHAnsi" w:cstheme="majorHAnsi"/>
        </w:rPr>
        <w:t>εξωχρηματιστηριακής</w:t>
      </w:r>
      <w:proofErr w:type="spellEnd"/>
      <w:r w:rsidRPr="00CF445B">
        <w:rPr>
          <w:rFonts w:asciiTheme="majorHAnsi" w:hAnsiTheme="majorHAnsi" w:cstheme="majorHAnsi"/>
        </w:rPr>
        <w:t xml:space="preserve"> μεταβίβασης των Μετοχών, όπως προβλέπονται στο Παράρτημα της Απόφασης 18 «Τιμοκατάλογος Χρεώσεων» (συνεδρίαση 311/22.02.2021) του Διοικητικού Συμβουλίου της ΕΛ.Κ.Α.Τ., όπως τροποποιήθηκε και ισχύει, τα οποία κατά την Ημερομηνία του Πληροφοριακού Δελτίου ανέρχονται σε 0,08% επί της αξίας μεταβίβασης, ανά εντολή μεταβίβασης, με ελάχιστη χρέωση ποσού ίσου με το μικρότερο μεταξύ των 20 Ευρώ και του 20% επί της αξίας της μεταβίβασης, ανά εντολή μεταβίβασης. Η αξία μεταβίβασης υπολογίζεται ως το γινόμενο του αριθμού των Μεταβιβαζόμενων Μετοχών επί τη μεγαλύτερη από τις εξής τιμές: (α) του Ανταλλάγματος σε Μετρητά, και (β) της τιμής κλεισίματος της Μετοχής στο Χ.Α. την προηγούμενη εργάσιμη ημέρα της υποβολής των απαραίτητων εγγράφων στην ΕΛ.Κ.Α.Τ.</w:t>
      </w:r>
    </w:p>
    <w:p w14:paraId="6B0CFAB8" w14:textId="77777777" w:rsidR="00E50563" w:rsidRPr="00CF445B" w:rsidRDefault="00E50563" w:rsidP="00E50563">
      <w:pPr>
        <w:pStyle w:val="NoSpacing"/>
        <w:ind w:firstLine="360"/>
        <w:jc w:val="both"/>
        <w:rPr>
          <w:rFonts w:asciiTheme="majorHAnsi" w:hAnsiTheme="majorHAnsi" w:cstheme="majorHAnsi"/>
        </w:rPr>
      </w:pPr>
      <w:r w:rsidRPr="00CF445B">
        <w:rPr>
          <w:rFonts w:asciiTheme="majorHAnsi" w:hAnsiTheme="majorHAnsi" w:cstheme="majorHAnsi"/>
        </w:rPr>
        <w:t>Ο Προτείνων δεν αναλαμβάνει την καταβολή του ποσού που αναλογεί στον προβλεπόμενο στο άρθρο 9 του Ν. 2579/1998 φόρο, σήμερα ανερχόμενο σε 0,20% επί της αξίας συναλλαγής, ο οποίος θα βαρύνει τους Αποδεχόμενους Μετόχους.</w:t>
      </w:r>
    </w:p>
    <w:p w14:paraId="6BFB56A8" w14:textId="77777777" w:rsidR="00E50563" w:rsidRPr="00CF445B" w:rsidRDefault="00E50563" w:rsidP="00E50563">
      <w:pPr>
        <w:spacing w:before="100" w:beforeAutospacing="1" w:after="100" w:afterAutospacing="1" w:line="240" w:lineRule="auto"/>
        <w:jc w:val="both"/>
        <w:rPr>
          <w:rFonts w:asciiTheme="majorHAnsi" w:hAnsiTheme="majorHAnsi" w:cstheme="majorHAnsi"/>
          <w:b/>
          <w:sz w:val="24"/>
          <w:szCs w:val="24"/>
          <w:lang w:val="el-GR"/>
        </w:rPr>
      </w:pPr>
      <w:r w:rsidRPr="00CF445B">
        <w:rPr>
          <w:rFonts w:asciiTheme="majorHAnsi" w:hAnsiTheme="majorHAnsi" w:cstheme="majorHAnsi"/>
          <w:b/>
          <w:sz w:val="24"/>
          <w:szCs w:val="24"/>
          <w:lang w:val="el-GR"/>
        </w:rPr>
        <w:t>2.4.4. Τα Επιχειρηματικά Σχέδια του Προτείνοντος σχετικά με την Εταιρεία.</w:t>
      </w:r>
    </w:p>
    <w:p w14:paraId="243867F0" w14:textId="77777777" w:rsidR="00E50563" w:rsidRPr="00CF445B" w:rsidRDefault="00E50563" w:rsidP="00E50563">
      <w:pPr>
        <w:pStyle w:val="NoSpacing"/>
        <w:ind w:firstLine="360"/>
        <w:jc w:val="both"/>
        <w:rPr>
          <w:rFonts w:asciiTheme="majorHAnsi" w:hAnsiTheme="majorHAnsi" w:cstheme="majorHAnsi"/>
        </w:rPr>
      </w:pPr>
      <w:r w:rsidRPr="00CF445B">
        <w:rPr>
          <w:rFonts w:asciiTheme="majorHAnsi" w:hAnsiTheme="majorHAnsi" w:cstheme="majorHAnsi"/>
        </w:rPr>
        <w:t>Σύμφωνα με την ενότητα 1.4. του Πληροφοριακού Δελτίου, στρατηγική του Προτείνοντος είναι η επέκταση σε νέες επιχειρηματικές δραστηριότητες, διευρύνοντας το χαρτοφυλάκιό του, με στόχο την αύξηση του κύκλου εργασιών, την κερδοφορία και την εν γένει δημιουργία αξίας για τους μετόχους του.</w:t>
      </w:r>
    </w:p>
    <w:p w14:paraId="22F8343C" w14:textId="77777777" w:rsidR="00E50563" w:rsidRPr="00CF445B" w:rsidRDefault="00E50563" w:rsidP="00E50563">
      <w:pPr>
        <w:pStyle w:val="NoSpacing"/>
        <w:ind w:firstLine="360"/>
        <w:jc w:val="both"/>
        <w:rPr>
          <w:rFonts w:asciiTheme="majorHAnsi" w:hAnsiTheme="majorHAnsi" w:cstheme="majorHAnsi"/>
        </w:rPr>
      </w:pPr>
      <w:r w:rsidRPr="00CF445B">
        <w:rPr>
          <w:rFonts w:asciiTheme="majorHAnsi" w:hAnsiTheme="majorHAnsi" w:cstheme="majorHAnsi"/>
        </w:rPr>
        <w:t xml:space="preserve">Στο πλαίσιο αυτό εντάσσεται και η παρούσα Δημόσια Πρόταση, καθώς η </w:t>
      </w:r>
      <w:r w:rsidRPr="00CF445B">
        <w:rPr>
          <w:rFonts w:asciiTheme="majorHAnsi" w:hAnsiTheme="majorHAnsi" w:cstheme="majorHAnsi"/>
          <w:lang w:val="en-US"/>
        </w:rPr>
        <w:t>IDE</w:t>
      </w:r>
      <w:r w:rsidRPr="00CF445B">
        <w:rPr>
          <w:rFonts w:asciiTheme="majorHAnsi" w:hAnsiTheme="majorHAnsi" w:cstheme="majorHAnsi"/>
        </w:rPr>
        <w:t xml:space="preserve">AL επιθυμεί να επεκταθεί στον χώρο της ανάπτυξης ολοκληρωμένων εφαρμογών πληροφορικής. Σκοπός της επέκτασης είναι η επαύξηση της πελατειακής βάσης και του ενοποιημένου κύκλου εργασιών της </w:t>
      </w:r>
      <w:r w:rsidRPr="00CF445B">
        <w:rPr>
          <w:rFonts w:asciiTheme="majorHAnsi" w:hAnsiTheme="majorHAnsi" w:cstheme="majorHAnsi"/>
          <w:lang w:val="en-US"/>
        </w:rPr>
        <w:t>ID</w:t>
      </w:r>
      <w:r w:rsidRPr="00CF445B">
        <w:rPr>
          <w:rFonts w:asciiTheme="majorHAnsi" w:hAnsiTheme="majorHAnsi" w:cstheme="majorHAnsi"/>
        </w:rPr>
        <w:t>EAL HOLDINGS, η δημιουργία συνεργειών μέσω μελλοντικών επενδύσεων και η εξοικονόμηση κόστους δανεισμού, ώστε να διευκολυνθεί η ανάπτυξή της και κατ' αποτέλεσμα να μεγιστοποιηθεί η αξία της.</w:t>
      </w:r>
    </w:p>
    <w:p w14:paraId="26F8B7AB" w14:textId="77777777" w:rsidR="00E50563" w:rsidRPr="00CF445B" w:rsidRDefault="00E50563" w:rsidP="00E50563">
      <w:pPr>
        <w:pStyle w:val="NoSpacing"/>
        <w:ind w:firstLine="360"/>
        <w:jc w:val="both"/>
        <w:rPr>
          <w:rFonts w:asciiTheme="majorHAnsi" w:hAnsiTheme="majorHAnsi" w:cstheme="majorHAnsi"/>
        </w:rPr>
      </w:pPr>
      <w:r w:rsidRPr="00CF445B">
        <w:rPr>
          <w:rFonts w:asciiTheme="majorHAnsi" w:hAnsiTheme="majorHAnsi" w:cstheme="majorHAnsi"/>
        </w:rPr>
        <w:lastRenderedPageBreak/>
        <w:t>Η απόκτηση των Μετοχών της Εταιρείας από τον Προτείνοντα δεν θα επιφέρει αλλαγές στην επιχειρηματική στρατηγική και στους επιχειρηματικούς σκοπούς της Εταιρείας, οι οποίοι συνοψίζονται στους ακόλουθους:</w:t>
      </w:r>
    </w:p>
    <w:p w14:paraId="2EAAD4BE" w14:textId="77777777" w:rsidR="00E50563" w:rsidRPr="00CF445B" w:rsidRDefault="00E50563" w:rsidP="00E50563">
      <w:pPr>
        <w:pStyle w:val="NoSpacing"/>
        <w:numPr>
          <w:ilvl w:val="0"/>
          <w:numId w:val="3"/>
        </w:numPr>
        <w:jc w:val="both"/>
        <w:rPr>
          <w:rFonts w:asciiTheme="majorHAnsi" w:hAnsiTheme="majorHAnsi" w:cstheme="majorHAnsi"/>
        </w:rPr>
      </w:pPr>
      <w:r w:rsidRPr="00CF445B">
        <w:rPr>
          <w:rFonts w:asciiTheme="majorHAnsi" w:hAnsiTheme="majorHAnsi" w:cstheme="majorHAnsi"/>
        </w:rPr>
        <w:t>η περαιτέρω ανάπτυξη των πωλήσεων του Ομίλου BYTE για το έτος 2022 σε υγιείς ιδιωτικές επιχειρήσεις, στις οποίες συγκαταλέγονται μεγάλα χρηματοπιστωτικά ιδρύματα, εταιρείες τηλεπικοινωνιών, μεγάλες και μικρομεσαίες ελληνικές επιχειρήσεις, πολυεθνικοί οργανισμοί, αλλά και σημαντικοί φορείς του δημοσίου τομέα.</w:t>
      </w:r>
    </w:p>
    <w:p w14:paraId="6AB04AA6" w14:textId="77777777" w:rsidR="00E50563" w:rsidRPr="00CF445B" w:rsidRDefault="00E50563" w:rsidP="00E50563">
      <w:pPr>
        <w:pStyle w:val="NoSpacing"/>
        <w:numPr>
          <w:ilvl w:val="0"/>
          <w:numId w:val="3"/>
        </w:numPr>
        <w:jc w:val="both"/>
        <w:rPr>
          <w:rFonts w:asciiTheme="majorHAnsi" w:hAnsiTheme="majorHAnsi" w:cstheme="majorHAnsi"/>
        </w:rPr>
      </w:pPr>
      <w:r w:rsidRPr="00CF445B">
        <w:rPr>
          <w:rFonts w:asciiTheme="majorHAnsi" w:hAnsiTheme="majorHAnsi" w:cstheme="majorHAnsi"/>
        </w:rPr>
        <w:t xml:space="preserve">Η διεύρυνση της επιχειρηματικής δραστηριότητας του Ομίλου BYTE, μέσω των νέων δυνατοτήτων και ευκαιριών στον τομέα ηλεκτρονικού εμπορίου και της σύγκλισης της τεχνολογίας και των εφαρμογών του </w:t>
      </w:r>
      <w:proofErr w:type="spellStart"/>
      <w:r w:rsidRPr="00CF445B">
        <w:rPr>
          <w:rFonts w:asciiTheme="majorHAnsi" w:hAnsiTheme="majorHAnsi" w:cstheme="majorHAnsi"/>
        </w:rPr>
        <w:t>ευρυζωνικού</w:t>
      </w:r>
      <w:proofErr w:type="spellEnd"/>
      <w:r w:rsidRPr="00CF445B">
        <w:rPr>
          <w:rFonts w:asciiTheme="majorHAnsi" w:hAnsiTheme="majorHAnsi" w:cstheme="majorHAnsi"/>
        </w:rPr>
        <w:t xml:space="preserve"> Internet και των τηλεπικοινωνιών, την επέκταση της ψηφιακής υπογραφής και σε άλλες συναλλαγές, καθώς και στην επέκταση των δραστηριοτήτων του και σε άλλες χώρες του εξωτερικού και η σύναψη νέων στρατηγικών συμφωνιών με παλαιούς και νέους πελάτες στην χώρα και το εξωτερικό.</w:t>
      </w:r>
    </w:p>
    <w:p w14:paraId="082CA30A" w14:textId="77777777" w:rsidR="00E50563" w:rsidRPr="00CF445B" w:rsidRDefault="00E50563" w:rsidP="00E50563">
      <w:pPr>
        <w:pStyle w:val="NoSpacing"/>
        <w:numPr>
          <w:ilvl w:val="0"/>
          <w:numId w:val="3"/>
        </w:numPr>
        <w:jc w:val="both"/>
        <w:rPr>
          <w:rFonts w:asciiTheme="majorHAnsi" w:hAnsiTheme="majorHAnsi" w:cstheme="majorHAnsi"/>
        </w:rPr>
      </w:pPr>
      <w:r w:rsidRPr="00CF445B">
        <w:rPr>
          <w:rFonts w:asciiTheme="majorHAnsi" w:hAnsiTheme="majorHAnsi" w:cstheme="majorHAnsi"/>
        </w:rPr>
        <w:t>η συνεχής ενίσχυση της δυναμικής του θέσης του Ομίλου BYTE και στον τομέα των δημοσίων συμβάσεων έργων, μελετών και προμηθειών πληροφορικής, με την ανάληψη μέσω της συμμετοχής, είτε αυτοτελώς είτε σε σύμπραξη με άλλους μεγάλους επιχειρηματικούς φορείς, σε σχετικούς διαγωνισμούς δημοσίων έργων πληροφορικής.</w:t>
      </w:r>
    </w:p>
    <w:p w14:paraId="33777D37" w14:textId="77777777" w:rsidR="00E50563" w:rsidRPr="00CF445B" w:rsidRDefault="00E50563" w:rsidP="00E50563">
      <w:pPr>
        <w:pStyle w:val="NoSpacing"/>
        <w:ind w:firstLine="360"/>
        <w:jc w:val="both"/>
        <w:rPr>
          <w:rFonts w:asciiTheme="majorHAnsi" w:hAnsiTheme="majorHAnsi" w:cstheme="majorHAnsi"/>
        </w:rPr>
      </w:pPr>
      <w:r w:rsidRPr="00CF445B">
        <w:rPr>
          <w:rFonts w:asciiTheme="majorHAnsi" w:hAnsiTheme="majorHAnsi" w:cstheme="majorHAnsi"/>
        </w:rPr>
        <w:t xml:space="preserve">Οι προκλήσεις που καλείται να αντιμετωπίσει το νέο σχήμα, αφορούν στην (i) επιτυχή ενσωμάτωση της νέας δραστηριότητας στην υπάρχουσα δομή του Ομίλου του Προτείνοντος, (ii) επιλογή των κατάλληλων επιχειρηματικών κινήσεων για την αύξηση των μεγεθών, (iii) αντιμετώπιση τυχόν δυσμενών αλλαγών στις προοπτικές του κλάδου και στον ανταγωνισμό, (iv) επαύξηση της ανταγωνιστικότητας των θυγατρικών της και (v) διατήρηση της διοικητικής αυτοτέλειας των συμμετοχών με την ταυτόχρονη εμπέδωση </w:t>
      </w:r>
      <w:proofErr w:type="spellStart"/>
      <w:r w:rsidRPr="00CF445B">
        <w:rPr>
          <w:rFonts w:asciiTheme="majorHAnsi" w:hAnsiTheme="majorHAnsi" w:cstheme="majorHAnsi"/>
        </w:rPr>
        <w:t>ομιλικής</w:t>
      </w:r>
      <w:proofErr w:type="spellEnd"/>
      <w:r w:rsidRPr="00CF445B">
        <w:rPr>
          <w:rFonts w:asciiTheme="majorHAnsi" w:hAnsiTheme="majorHAnsi" w:cstheme="majorHAnsi"/>
        </w:rPr>
        <w:t xml:space="preserve"> φιλοσοφίας.</w:t>
      </w:r>
    </w:p>
    <w:p w14:paraId="0A0B84DF" w14:textId="77777777" w:rsidR="00E50563" w:rsidRPr="00CF445B" w:rsidRDefault="00E50563" w:rsidP="00E50563">
      <w:pPr>
        <w:pStyle w:val="NoSpacing"/>
        <w:ind w:firstLine="360"/>
        <w:jc w:val="both"/>
        <w:rPr>
          <w:rFonts w:asciiTheme="majorHAnsi" w:hAnsiTheme="majorHAnsi" w:cstheme="majorHAnsi"/>
        </w:rPr>
      </w:pPr>
      <w:r w:rsidRPr="00CF445B">
        <w:rPr>
          <w:rFonts w:asciiTheme="majorHAnsi" w:hAnsiTheme="majorHAnsi" w:cstheme="majorHAnsi"/>
        </w:rPr>
        <w:t>Ο Προτείνων προτίθεται να συνεχίσει τις δραστηριότητες του ιδίου, της Εταιρείας και του Ομίλου της και δεν σχεδιάζει αλλαγές στον τόπο διεξαγωγής των δραστηριοτήτων της Εταιρείας και των θυγατρικών της ή τη μεταφορά της έδρας ή των δραστηριοτήτων της Εταιρείας ή των θυγατρικών της εκτός Ελλάδος.</w:t>
      </w:r>
    </w:p>
    <w:p w14:paraId="76F502F9" w14:textId="77777777" w:rsidR="00E50563" w:rsidRPr="00CF445B" w:rsidRDefault="00E50563" w:rsidP="00E50563">
      <w:pPr>
        <w:pStyle w:val="NoSpacing"/>
        <w:ind w:firstLine="360"/>
        <w:jc w:val="both"/>
        <w:rPr>
          <w:rFonts w:asciiTheme="majorHAnsi" w:hAnsiTheme="majorHAnsi" w:cstheme="majorHAnsi"/>
        </w:rPr>
      </w:pPr>
      <w:r w:rsidRPr="00CF445B">
        <w:rPr>
          <w:rFonts w:asciiTheme="majorHAnsi" w:hAnsiTheme="majorHAnsi" w:cstheme="majorHAnsi"/>
        </w:rPr>
        <w:t>Η απόκτηση Μετοχών της Εταιρείας από τον Προτείνοντα θα επιφέρει αλλαγές στη σύνθεση του Διοικητικού Συμβουλίου της Εταιρείας. Μετά τη δημοσιοποίηση της Δημόσιας Πρότασης, και συγκεκριμένα την 28.07.2022, ο Προτείνων έθεσε υπόψη του κ. Σ. Βυζάντιου, Προέδρου και Δ/ντος Συμβούλου της Εταιρείας, πρόταση συνεργασίας για τη παραμονή του στην θέση του Προέδρου και Διευθύνοντος Συμβούλου της Εταιρείας στην περίπτωση ικανοποίησης της προϋπόθεσης απόκτησης του Ελάχιστου Αριθμού Μετοχών, προκειμένου να ισχύσει η Δημόσια Πρόταση, και της επακόλουθης εξαγοράς της Εταιρείας, από τον Προτείνοντα. Τέλος, σε περίπτωση επιτυχούς ολοκλήρωσης της Δημόσιας Πρότασης, ο Προτείνων θα προτείνει την εκλογή του κ. Παναγιώτη Βασιλειάδη στο ΔΣ της Εταιρείας ως μη εκτελεστικό μέλος, σε αντικατάσταση ενός υφιστάμενου μέλους του ΔΣ.</w:t>
      </w:r>
    </w:p>
    <w:p w14:paraId="308011DB" w14:textId="77777777" w:rsidR="00E50563" w:rsidRPr="00CF445B" w:rsidRDefault="00E50563" w:rsidP="00E50563">
      <w:pPr>
        <w:spacing w:before="100" w:beforeAutospacing="1" w:after="100" w:afterAutospacing="1" w:line="240" w:lineRule="auto"/>
        <w:jc w:val="both"/>
        <w:rPr>
          <w:rFonts w:asciiTheme="majorHAnsi" w:hAnsiTheme="majorHAnsi" w:cstheme="majorHAnsi"/>
          <w:b/>
          <w:sz w:val="24"/>
          <w:szCs w:val="24"/>
          <w:lang w:val="el-GR"/>
        </w:rPr>
      </w:pPr>
      <w:r w:rsidRPr="00CF445B">
        <w:rPr>
          <w:rFonts w:asciiTheme="majorHAnsi" w:hAnsiTheme="majorHAnsi" w:cstheme="majorHAnsi"/>
          <w:b/>
          <w:sz w:val="24"/>
          <w:szCs w:val="24"/>
          <w:lang w:val="el-GR"/>
        </w:rPr>
        <w:t>2.4.5. Τις πιθανές επιπτώσεις της Δημόσιας Πρότασης στους εργαζομένους της Εταιρείας.</w:t>
      </w:r>
    </w:p>
    <w:p w14:paraId="3C39BABA" w14:textId="77777777" w:rsidR="00E50563" w:rsidRPr="00CF445B" w:rsidRDefault="00E50563" w:rsidP="00E50563">
      <w:pPr>
        <w:pStyle w:val="NoSpacing"/>
        <w:ind w:firstLine="360"/>
        <w:jc w:val="both"/>
        <w:rPr>
          <w:rFonts w:asciiTheme="majorHAnsi" w:hAnsiTheme="majorHAnsi" w:cstheme="majorHAnsi"/>
        </w:rPr>
      </w:pPr>
      <w:r w:rsidRPr="00CF445B">
        <w:rPr>
          <w:rFonts w:asciiTheme="majorHAnsi" w:hAnsiTheme="majorHAnsi" w:cstheme="majorHAnsi"/>
        </w:rPr>
        <w:t xml:space="preserve">Σύμφωνα με την ενότητα 1.4. του Πληροφοριακού Δελτίου, ο Προτείνων δεν θα προβεί σε μεταβολές στην πολιτική διαχείρισης του ανθρώπινου δυναμικού και στους όρους απασχόλησης του προσωπικού της Εταιρείας και του Ομίλου της, και θα διατηρήσει τις </w:t>
      </w:r>
      <w:r w:rsidRPr="00CF445B">
        <w:rPr>
          <w:rFonts w:asciiTheme="majorHAnsi" w:hAnsiTheme="majorHAnsi" w:cstheme="majorHAnsi"/>
        </w:rPr>
        <w:lastRenderedPageBreak/>
        <w:t>υφιστάμενες θέσεις εργασίας του προσωπικού και των στελεχών τους, στο βαθμό βεβαίως που δεν θα επέλθουν σημαντικές μεταβολές στις υφιστάμενες συνθήκες της αγοράς.</w:t>
      </w:r>
    </w:p>
    <w:p w14:paraId="0DBD45F1" w14:textId="77777777" w:rsidR="00E50563" w:rsidRPr="00CF445B" w:rsidRDefault="00E50563" w:rsidP="00E50563">
      <w:pPr>
        <w:pStyle w:val="NoSpacing"/>
        <w:ind w:firstLine="360"/>
        <w:jc w:val="both"/>
        <w:rPr>
          <w:rFonts w:asciiTheme="majorHAnsi" w:hAnsiTheme="majorHAnsi" w:cstheme="majorHAnsi"/>
        </w:rPr>
      </w:pPr>
      <w:r w:rsidRPr="00CF445B">
        <w:rPr>
          <w:rFonts w:asciiTheme="majorHAnsi" w:hAnsiTheme="majorHAnsi" w:cstheme="majorHAnsi"/>
        </w:rPr>
        <w:t>Σημειώνεται ότι μέχρι σήμερα ουδείς εκ των εργαζομένων της Εταιρείας έχει εκφράσει αρνητική γνώμη σχετικά με τη Δημόσια Πρόταση.</w:t>
      </w:r>
    </w:p>
    <w:p w14:paraId="3130F642" w14:textId="77777777" w:rsidR="00E50563" w:rsidRPr="00CF445B" w:rsidRDefault="00E50563" w:rsidP="00E50563">
      <w:pPr>
        <w:pStyle w:val="NoSpacing"/>
        <w:ind w:firstLine="360"/>
        <w:jc w:val="both"/>
        <w:rPr>
          <w:rFonts w:asciiTheme="majorHAnsi" w:hAnsiTheme="majorHAnsi" w:cstheme="majorHAnsi"/>
        </w:rPr>
      </w:pPr>
    </w:p>
    <w:p w14:paraId="3E64154C" w14:textId="321E4739" w:rsidR="00E50563" w:rsidRPr="00CF445B" w:rsidRDefault="00E50563" w:rsidP="00E50563">
      <w:pPr>
        <w:widowControl w:val="0"/>
        <w:tabs>
          <w:tab w:val="left" w:pos="567"/>
        </w:tabs>
        <w:overflowPunct w:val="0"/>
        <w:autoSpaceDE w:val="0"/>
        <w:autoSpaceDN w:val="0"/>
        <w:adjustRightInd w:val="0"/>
        <w:spacing w:after="120"/>
        <w:jc w:val="both"/>
        <w:textAlignment w:val="baseline"/>
        <w:rPr>
          <w:rFonts w:asciiTheme="majorHAnsi" w:hAnsiTheme="majorHAnsi" w:cstheme="majorHAnsi"/>
          <w:b/>
          <w:sz w:val="24"/>
          <w:szCs w:val="24"/>
          <w:lang w:val="el-GR"/>
        </w:rPr>
      </w:pPr>
      <w:r w:rsidRPr="00CF445B">
        <w:rPr>
          <w:rFonts w:asciiTheme="majorHAnsi" w:hAnsiTheme="majorHAnsi" w:cstheme="majorHAnsi"/>
          <w:b/>
          <w:sz w:val="24"/>
          <w:szCs w:val="24"/>
          <w:lang w:val="el-GR"/>
        </w:rPr>
        <w:t>2.4.6. Την πρόθεση του Προτείνοντος και των Συντονισμένων Προσώπων για τη διαγραφή της εταιρείας από το Χρηματιστήριο Αθηνών</w:t>
      </w:r>
      <w:r w:rsidR="001C5AC1">
        <w:rPr>
          <w:rFonts w:asciiTheme="majorHAnsi" w:hAnsiTheme="majorHAnsi" w:cstheme="majorHAnsi"/>
          <w:b/>
          <w:sz w:val="24"/>
          <w:szCs w:val="24"/>
          <w:lang w:val="el-GR"/>
        </w:rPr>
        <w:t>.</w:t>
      </w:r>
    </w:p>
    <w:p w14:paraId="2091DDDA" w14:textId="77777777" w:rsidR="00E50563" w:rsidRPr="00CF445B" w:rsidRDefault="00E50563" w:rsidP="00E50563">
      <w:pPr>
        <w:pStyle w:val="NoSpacing"/>
        <w:ind w:firstLine="360"/>
        <w:jc w:val="both"/>
        <w:rPr>
          <w:rFonts w:asciiTheme="majorHAnsi" w:hAnsiTheme="majorHAnsi" w:cstheme="majorHAnsi"/>
        </w:rPr>
      </w:pPr>
      <w:r w:rsidRPr="00CF445B">
        <w:rPr>
          <w:rFonts w:asciiTheme="majorHAnsi" w:hAnsiTheme="majorHAnsi" w:cstheme="majorHAnsi"/>
        </w:rPr>
        <w:t>Σύμφωνα με τις ενότητες 1.4. και 1.5. του Πληροφοριακού Δελτίου, εφόσον μετά την ολοκλήρωση της Δημόσιας Πρότασης ο Προτείνων κατέχει Μετοχές που αντιπροσωπεύουν ποσοστό τουλάχιστον 90% του συνολικού καταβεβλημένου μετοχικού κεφαλαίου και δικαιωμάτων ψήφου της Εταιρείας, ο Προτείνων θα ασκήσει το Δικαίωμα Εξαγοράς (</w:t>
      </w:r>
      <w:proofErr w:type="spellStart"/>
      <w:r w:rsidRPr="00CF445B">
        <w:rPr>
          <w:rFonts w:asciiTheme="majorHAnsi" w:hAnsiTheme="majorHAnsi" w:cstheme="majorHAnsi"/>
        </w:rPr>
        <w:t>squeeze</w:t>
      </w:r>
      <w:proofErr w:type="spellEnd"/>
      <w:r w:rsidRPr="00CF445B">
        <w:rPr>
          <w:rFonts w:asciiTheme="majorHAnsi" w:hAnsiTheme="majorHAnsi" w:cstheme="majorHAnsi"/>
        </w:rPr>
        <w:t xml:space="preserve"> </w:t>
      </w:r>
      <w:proofErr w:type="spellStart"/>
      <w:r w:rsidRPr="00CF445B">
        <w:rPr>
          <w:rFonts w:asciiTheme="majorHAnsi" w:hAnsiTheme="majorHAnsi" w:cstheme="majorHAnsi"/>
        </w:rPr>
        <w:t>out</w:t>
      </w:r>
      <w:proofErr w:type="spellEnd"/>
      <w:r w:rsidRPr="00CF445B">
        <w:rPr>
          <w:rFonts w:asciiTheme="majorHAnsi" w:hAnsiTheme="majorHAnsi" w:cstheme="majorHAnsi"/>
        </w:rPr>
        <w:t>) και θα επιδιώξει τη διαγραφή των Μετοχών από το Χ.Α.</w:t>
      </w:r>
    </w:p>
    <w:p w14:paraId="16F8B47D" w14:textId="77777777" w:rsidR="00E50563" w:rsidRPr="00CF445B" w:rsidRDefault="00E50563" w:rsidP="00E50563">
      <w:pPr>
        <w:pStyle w:val="NoSpacing"/>
        <w:ind w:firstLine="360"/>
        <w:jc w:val="both"/>
        <w:rPr>
          <w:rFonts w:asciiTheme="majorHAnsi" w:hAnsiTheme="majorHAnsi" w:cstheme="majorHAnsi"/>
        </w:rPr>
      </w:pPr>
      <w:r w:rsidRPr="00CF445B">
        <w:rPr>
          <w:rFonts w:asciiTheme="majorHAnsi" w:hAnsiTheme="majorHAnsi" w:cstheme="majorHAnsi"/>
        </w:rPr>
        <w:t>Σε περίπτωση που μετά την ολοκλήρωση της Δημόσιας Πρότασης ο Προτείνων κατέχει συνολικά Μετοχές που αντιπροσωπεύουν ποσοστό μικρότερο του 90% του συνολικού καταβεβλημένου μετοχικού κεφαλαίου και των δικαιωμάτων ψήφου της Εταιρείας, τότε, με την επιφύλαξη των συνθηκών της αγοράς, πρόθεση του Προτείνοντος είναι να συνεχίσει να επιδιώκει τη διαγραφή των Μετοχών της Εταιρείας από το Χρηματιστήριο Αθηνών.</w:t>
      </w:r>
    </w:p>
    <w:p w14:paraId="5E30CD0A" w14:textId="77777777" w:rsidR="00E50563" w:rsidRPr="00CF445B" w:rsidRDefault="00E50563" w:rsidP="00E50563">
      <w:pPr>
        <w:pStyle w:val="NoSpacing"/>
        <w:ind w:firstLine="360"/>
        <w:jc w:val="both"/>
        <w:rPr>
          <w:rFonts w:asciiTheme="majorHAnsi" w:hAnsiTheme="majorHAnsi" w:cstheme="majorHAnsi"/>
        </w:rPr>
      </w:pPr>
      <w:r w:rsidRPr="00CF445B">
        <w:rPr>
          <w:rFonts w:asciiTheme="majorHAnsi" w:hAnsiTheme="majorHAnsi" w:cstheme="majorHAnsi"/>
        </w:rPr>
        <w:t>Ειδικότερα, μετά την άσκηση του Δικαιώματος Εξαγοράς, ο Προτείνων θα συγκαλέσει Γενική Συνέλευση των Μετόχων της Εταιρείας με θέμα τη λήψη απόφασης για τη διαγραφή των Μετοχών από το Χ.Α., σύμφωνα με το άρθρο 17 παρ. 5 του Ν. 3371/2005 και θα ψηφίσει υπέρ αυτής της απόφασης. Κατόπιν λήψης της εν λόγω απόφασης από τη Γενική Συνέλευση των Μετόχων της Εταιρείας, η τελευταία θα υποβάλει προς την ΕΚ αίτημα διαγραφής της από το Χ.Α.</w:t>
      </w:r>
    </w:p>
    <w:p w14:paraId="1136EA3A" w14:textId="77777777" w:rsidR="00E50563" w:rsidRPr="00CF445B" w:rsidRDefault="00E50563" w:rsidP="00E50563">
      <w:pPr>
        <w:pStyle w:val="NoSpacing"/>
        <w:ind w:firstLine="360"/>
        <w:jc w:val="both"/>
        <w:rPr>
          <w:rFonts w:asciiTheme="majorHAnsi" w:hAnsiTheme="majorHAnsi" w:cstheme="majorHAnsi"/>
        </w:rPr>
      </w:pPr>
    </w:p>
    <w:p w14:paraId="02C474A3" w14:textId="26F69BA4" w:rsidR="00E50563" w:rsidRPr="00CF445B" w:rsidRDefault="00E50563" w:rsidP="00E50563">
      <w:pPr>
        <w:widowControl w:val="0"/>
        <w:tabs>
          <w:tab w:val="left" w:pos="567"/>
        </w:tabs>
        <w:overflowPunct w:val="0"/>
        <w:autoSpaceDE w:val="0"/>
        <w:autoSpaceDN w:val="0"/>
        <w:adjustRightInd w:val="0"/>
        <w:spacing w:after="120"/>
        <w:jc w:val="both"/>
        <w:textAlignment w:val="baseline"/>
        <w:rPr>
          <w:rFonts w:asciiTheme="majorHAnsi" w:hAnsiTheme="majorHAnsi" w:cstheme="majorHAnsi"/>
          <w:b/>
          <w:sz w:val="24"/>
          <w:szCs w:val="24"/>
          <w:lang w:val="el-GR"/>
        </w:rPr>
      </w:pPr>
      <w:r w:rsidRPr="00CF445B">
        <w:rPr>
          <w:rFonts w:asciiTheme="majorHAnsi" w:hAnsiTheme="majorHAnsi" w:cstheme="majorHAnsi"/>
          <w:b/>
          <w:sz w:val="24"/>
          <w:szCs w:val="24"/>
          <w:lang w:val="el-GR"/>
        </w:rPr>
        <w:t>2.4.7. Τη Χρηματοδότηση του Προσφερόμενου Ανταλλάγματος.</w:t>
      </w:r>
    </w:p>
    <w:p w14:paraId="45BB4238" w14:textId="77777777" w:rsidR="00E50563" w:rsidRDefault="00E50563" w:rsidP="00E50563">
      <w:pPr>
        <w:pStyle w:val="NoSpacing"/>
        <w:ind w:firstLine="360"/>
        <w:jc w:val="both"/>
        <w:rPr>
          <w:rFonts w:asciiTheme="majorHAnsi" w:hAnsiTheme="majorHAnsi" w:cstheme="majorHAnsi"/>
        </w:rPr>
      </w:pPr>
      <w:r w:rsidRPr="00CF445B">
        <w:rPr>
          <w:rFonts w:asciiTheme="majorHAnsi" w:hAnsiTheme="majorHAnsi" w:cstheme="majorHAnsi"/>
        </w:rPr>
        <w:t xml:space="preserve">Σύμφωνα με την ενότητα 1.19. του Πληροφοριακού Δελτίου, ο Προτείνων θα χρηματοδοτήσει το συνολικό ποσό που θα απαιτηθεί να καταβάλει (i) στους Αποδεχόμενους Μετόχους και (ii) στην ΕΛ.Κ.Α.Τ., δυνάμει του Παραρτήματος της Απόφασης 18 «Τιμοκατάλογος Χρεώσεων» (συνεδρίαση 311/22.02.2021) του Διοικητικού Συμβουλίου της ΕΛ.Κ.Α.Τ., όπως τροποποιήθηκε και ισχύει, μέσω τραπεζικού δανεισμού, για τον οποίο έχει ήδη υπογραφεί συμφωνία με την </w:t>
      </w:r>
      <w:proofErr w:type="spellStart"/>
      <w:r w:rsidRPr="00CF445B">
        <w:rPr>
          <w:rFonts w:asciiTheme="majorHAnsi" w:hAnsiTheme="majorHAnsi" w:cstheme="majorHAnsi"/>
        </w:rPr>
        <w:t>Eurobank</w:t>
      </w:r>
      <w:proofErr w:type="spellEnd"/>
      <w:r w:rsidRPr="00CF445B">
        <w:rPr>
          <w:rFonts w:asciiTheme="majorHAnsi" w:hAnsiTheme="majorHAnsi" w:cstheme="majorHAnsi"/>
        </w:rPr>
        <w:t>. Το ύψος των κεφαλαίων που ο Προτείνων θα εκταμιεύσει τελικά θα εξαρτηθεί κυρίως από τον αριθμό των Μετοχών που θα προσφερθούν στη Δημόσια Πρόταση.</w:t>
      </w:r>
    </w:p>
    <w:p w14:paraId="296974E3" w14:textId="77777777" w:rsidR="006E5857" w:rsidRPr="00CF445B" w:rsidRDefault="006E5857" w:rsidP="00E50563">
      <w:pPr>
        <w:pStyle w:val="NoSpacing"/>
        <w:ind w:firstLine="360"/>
        <w:jc w:val="both"/>
        <w:rPr>
          <w:rFonts w:asciiTheme="majorHAnsi" w:hAnsiTheme="majorHAnsi" w:cstheme="majorHAnsi"/>
        </w:rPr>
      </w:pPr>
    </w:p>
    <w:p w14:paraId="3BE8303E" w14:textId="77777777" w:rsidR="00E50563" w:rsidRPr="00CF445B" w:rsidRDefault="00E50563" w:rsidP="00E50563">
      <w:pPr>
        <w:pStyle w:val="Heading1"/>
        <w:rPr>
          <w:rFonts w:asciiTheme="majorHAnsi" w:hAnsiTheme="majorHAnsi" w:cstheme="majorHAnsi"/>
          <w:b/>
          <w:bCs/>
          <w:szCs w:val="24"/>
          <w:lang w:val="el-GR"/>
        </w:rPr>
      </w:pPr>
      <w:bookmarkStart w:id="9" w:name="_Toc111202958"/>
      <w:r w:rsidRPr="00CF445B">
        <w:rPr>
          <w:rFonts w:asciiTheme="majorHAnsi" w:hAnsiTheme="majorHAnsi" w:cstheme="majorHAnsi"/>
          <w:b/>
          <w:bCs/>
          <w:szCs w:val="24"/>
          <w:lang w:val="el-GR"/>
        </w:rPr>
        <w:t>3. Συμπεράσματα.</w:t>
      </w:r>
      <w:bookmarkEnd w:id="9"/>
    </w:p>
    <w:p w14:paraId="558F9975" w14:textId="77777777" w:rsidR="00E50563" w:rsidRPr="00CF445B" w:rsidRDefault="00E50563" w:rsidP="00E50563">
      <w:pPr>
        <w:pStyle w:val="NoSpacing"/>
        <w:spacing w:before="100" w:beforeAutospacing="1" w:after="100" w:afterAutospacing="1"/>
        <w:ind w:firstLine="720"/>
        <w:jc w:val="both"/>
        <w:rPr>
          <w:rFonts w:asciiTheme="majorHAnsi" w:hAnsiTheme="majorHAnsi" w:cstheme="majorHAnsi"/>
        </w:rPr>
      </w:pPr>
      <w:r w:rsidRPr="00CF445B">
        <w:rPr>
          <w:rFonts w:asciiTheme="majorHAnsi" w:hAnsiTheme="majorHAnsi" w:cstheme="majorHAnsi"/>
        </w:rPr>
        <w:t>Λαμβάνοντας υπόψη τα ανωτέρω, η αιτιολογημένη γνώμη του Διοικητικού Συμβουλίου της Εταιρείας σχετικά με τη Δημόσια Πρόταση διατυπώνεται ως εξής:</w:t>
      </w:r>
    </w:p>
    <w:p w14:paraId="00FEFCAB" w14:textId="77777777" w:rsidR="00E50563" w:rsidRPr="00CF445B" w:rsidRDefault="00E50563" w:rsidP="00E50563">
      <w:pPr>
        <w:pStyle w:val="ListParagraph"/>
        <w:numPr>
          <w:ilvl w:val="0"/>
          <w:numId w:val="2"/>
        </w:numPr>
        <w:autoSpaceDE w:val="0"/>
        <w:autoSpaceDN w:val="0"/>
        <w:adjustRightInd w:val="0"/>
        <w:spacing w:after="0" w:line="240" w:lineRule="auto"/>
        <w:jc w:val="both"/>
        <w:rPr>
          <w:rFonts w:asciiTheme="majorHAnsi" w:hAnsiTheme="majorHAnsi" w:cstheme="majorHAnsi"/>
          <w:sz w:val="24"/>
          <w:szCs w:val="24"/>
          <w:lang w:val="el-GR"/>
        </w:rPr>
      </w:pPr>
      <w:r w:rsidRPr="00CF445B">
        <w:rPr>
          <w:rFonts w:asciiTheme="majorHAnsi" w:hAnsiTheme="majorHAnsi" w:cstheme="majorHAnsi"/>
          <w:sz w:val="24"/>
          <w:szCs w:val="24"/>
          <w:lang w:val="el-GR"/>
        </w:rPr>
        <w:t xml:space="preserve">Το Προσφερόμενο Αντάλλαγμα: </w:t>
      </w:r>
    </w:p>
    <w:p w14:paraId="512FD375" w14:textId="77777777" w:rsidR="00E50563" w:rsidRPr="00CF445B" w:rsidRDefault="00E50563" w:rsidP="00E50563">
      <w:pPr>
        <w:autoSpaceDE w:val="0"/>
        <w:autoSpaceDN w:val="0"/>
        <w:adjustRightInd w:val="0"/>
        <w:spacing w:after="0" w:line="240" w:lineRule="auto"/>
        <w:ind w:firstLine="720"/>
        <w:jc w:val="both"/>
        <w:rPr>
          <w:rFonts w:asciiTheme="majorHAnsi" w:hAnsiTheme="majorHAnsi" w:cstheme="majorHAnsi"/>
          <w:sz w:val="24"/>
          <w:szCs w:val="24"/>
          <w:lang w:val="el-GR"/>
        </w:rPr>
      </w:pPr>
      <w:r w:rsidRPr="00CF445B">
        <w:rPr>
          <w:rFonts w:asciiTheme="majorHAnsi" w:hAnsiTheme="majorHAnsi" w:cstheme="majorHAnsi"/>
          <w:sz w:val="24"/>
          <w:szCs w:val="24"/>
          <w:lang w:val="el-GR"/>
        </w:rPr>
        <w:t xml:space="preserve">α) εκπληρώνει τις απαιτήσεις του Ν. 3461/2006 και </w:t>
      </w:r>
    </w:p>
    <w:p w14:paraId="32D01735" w14:textId="10CC651B" w:rsidR="00E50563" w:rsidRPr="00CF445B" w:rsidRDefault="00E50563" w:rsidP="00E50563">
      <w:pPr>
        <w:autoSpaceDE w:val="0"/>
        <w:autoSpaceDN w:val="0"/>
        <w:adjustRightInd w:val="0"/>
        <w:spacing w:after="0" w:line="240" w:lineRule="auto"/>
        <w:ind w:left="720"/>
        <w:jc w:val="both"/>
        <w:rPr>
          <w:rFonts w:asciiTheme="majorHAnsi" w:hAnsiTheme="majorHAnsi" w:cstheme="majorHAnsi"/>
          <w:sz w:val="24"/>
          <w:szCs w:val="24"/>
          <w:lang w:val="el-GR"/>
        </w:rPr>
      </w:pPr>
      <w:r w:rsidRPr="00CF445B">
        <w:rPr>
          <w:rFonts w:asciiTheme="majorHAnsi" w:hAnsiTheme="majorHAnsi" w:cstheme="majorHAnsi"/>
          <w:sz w:val="24"/>
          <w:szCs w:val="24"/>
          <w:lang w:val="el-GR"/>
        </w:rPr>
        <w:t xml:space="preserve">β) εμπίπτει στο </w:t>
      </w:r>
      <w:r w:rsidR="007F5F84">
        <w:rPr>
          <w:rFonts w:asciiTheme="majorHAnsi" w:hAnsiTheme="majorHAnsi" w:cstheme="majorHAnsi"/>
          <w:sz w:val="24"/>
          <w:szCs w:val="24"/>
          <w:lang w:val="el-GR"/>
        </w:rPr>
        <w:t>Ε</w:t>
      </w:r>
      <w:r w:rsidRPr="00CF445B">
        <w:rPr>
          <w:rFonts w:asciiTheme="majorHAnsi" w:hAnsiTheme="majorHAnsi" w:cstheme="majorHAnsi"/>
          <w:sz w:val="24"/>
          <w:szCs w:val="24"/>
          <w:lang w:val="el-GR"/>
        </w:rPr>
        <w:t>ύρος</w:t>
      </w:r>
      <w:r w:rsidR="007F5F84" w:rsidRPr="007F5F84">
        <w:rPr>
          <w:rFonts w:asciiTheme="majorHAnsi" w:hAnsiTheme="majorHAnsi" w:cstheme="majorHAnsi"/>
          <w:sz w:val="24"/>
          <w:szCs w:val="24"/>
          <w:lang w:val="el-GR"/>
        </w:rPr>
        <w:t xml:space="preserve"> </w:t>
      </w:r>
      <w:r w:rsidR="007F5F84">
        <w:rPr>
          <w:rFonts w:asciiTheme="majorHAnsi" w:hAnsiTheme="majorHAnsi" w:cstheme="majorHAnsi"/>
          <w:sz w:val="24"/>
          <w:szCs w:val="24"/>
          <w:lang w:val="el-GR"/>
        </w:rPr>
        <w:t>Τ</w:t>
      </w:r>
      <w:r w:rsidRPr="00CF445B">
        <w:rPr>
          <w:rFonts w:asciiTheme="majorHAnsi" w:hAnsiTheme="majorHAnsi" w:cstheme="majorHAnsi"/>
          <w:sz w:val="24"/>
          <w:szCs w:val="24"/>
          <w:lang w:val="el-GR"/>
        </w:rPr>
        <w:t>ιμών που προσδιόρισε ο Χρηματοοικονομικός Σύμβουλος.</w:t>
      </w:r>
    </w:p>
    <w:p w14:paraId="74171A2D" w14:textId="77777777" w:rsidR="00E50563" w:rsidRPr="00CF445B" w:rsidRDefault="00E50563" w:rsidP="00E50563">
      <w:pPr>
        <w:pStyle w:val="ListParagraph"/>
        <w:numPr>
          <w:ilvl w:val="0"/>
          <w:numId w:val="2"/>
        </w:numPr>
        <w:spacing w:before="100" w:beforeAutospacing="1" w:after="100" w:afterAutospacing="1" w:line="240" w:lineRule="auto"/>
        <w:jc w:val="both"/>
        <w:rPr>
          <w:rFonts w:asciiTheme="majorHAnsi" w:hAnsiTheme="majorHAnsi" w:cstheme="majorHAnsi"/>
          <w:sz w:val="24"/>
          <w:szCs w:val="24"/>
          <w:lang w:val="el-GR"/>
        </w:rPr>
      </w:pPr>
      <w:r w:rsidRPr="00CF445B">
        <w:rPr>
          <w:rFonts w:asciiTheme="majorHAnsi" w:hAnsiTheme="majorHAnsi" w:cstheme="majorHAnsi"/>
          <w:sz w:val="24"/>
          <w:szCs w:val="24"/>
          <w:lang w:val="el-GR"/>
        </w:rPr>
        <w:t xml:space="preserve">Τα επιχειρηματικά σχέδια του Προτείνοντος για την Εταιρεία, όπως προκύπτουν από το περιεχόμενο του Πληροφοριακού Δελτίου, </w:t>
      </w:r>
      <w:r w:rsidRPr="00F752B9">
        <w:rPr>
          <w:rFonts w:asciiTheme="majorHAnsi" w:hAnsiTheme="majorHAnsi" w:cstheme="majorHAnsi"/>
          <w:sz w:val="24"/>
          <w:szCs w:val="24"/>
          <w:lang w:val="el-GR"/>
        </w:rPr>
        <w:t>αξιολογούνται θετικά,</w:t>
      </w:r>
      <w:r w:rsidRPr="00CF445B">
        <w:rPr>
          <w:rFonts w:asciiTheme="majorHAnsi" w:hAnsiTheme="majorHAnsi" w:cstheme="majorHAnsi"/>
          <w:sz w:val="24"/>
          <w:szCs w:val="24"/>
          <w:lang w:val="el-GR"/>
        </w:rPr>
        <w:t xml:space="preserve"> καθώς εκτιμάται ότι θα συμβάλουν στην διασφάλιση της συνέχισης της λειτουργίας </w:t>
      </w:r>
      <w:r w:rsidRPr="00CF445B">
        <w:rPr>
          <w:rFonts w:asciiTheme="majorHAnsi" w:hAnsiTheme="majorHAnsi" w:cstheme="majorHAnsi"/>
          <w:sz w:val="24"/>
          <w:szCs w:val="24"/>
          <w:lang w:val="el-GR"/>
        </w:rPr>
        <w:lastRenderedPageBreak/>
        <w:t>της Εταιρείας υπό τις ίδιες επιχειρηματικές αρχές, βασιζόμενη στον υφιστάμενο επιχειρηματικό σχεδιασμό.</w:t>
      </w:r>
    </w:p>
    <w:p w14:paraId="35542CF4" w14:textId="77777777" w:rsidR="00E50563" w:rsidRPr="00CF445B" w:rsidRDefault="00E50563" w:rsidP="00E50563">
      <w:pPr>
        <w:pStyle w:val="ListParagraph"/>
        <w:spacing w:before="100" w:beforeAutospacing="1" w:after="100" w:afterAutospacing="1" w:line="240" w:lineRule="auto"/>
        <w:jc w:val="both"/>
        <w:rPr>
          <w:rFonts w:asciiTheme="majorHAnsi" w:hAnsiTheme="majorHAnsi" w:cstheme="majorHAnsi"/>
          <w:sz w:val="24"/>
          <w:szCs w:val="24"/>
          <w:highlight w:val="yellow"/>
          <w:lang w:val="el-GR"/>
        </w:rPr>
      </w:pPr>
    </w:p>
    <w:p w14:paraId="794D692D" w14:textId="77777777" w:rsidR="00E50563" w:rsidRPr="00CF445B" w:rsidRDefault="00E50563" w:rsidP="00E50563">
      <w:pPr>
        <w:pStyle w:val="ListParagraph"/>
        <w:numPr>
          <w:ilvl w:val="0"/>
          <w:numId w:val="2"/>
        </w:numPr>
        <w:spacing w:before="100" w:beforeAutospacing="1" w:after="100" w:afterAutospacing="1" w:line="240" w:lineRule="auto"/>
        <w:jc w:val="both"/>
        <w:rPr>
          <w:rFonts w:asciiTheme="majorHAnsi" w:hAnsiTheme="majorHAnsi" w:cstheme="majorHAnsi"/>
          <w:sz w:val="24"/>
          <w:szCs w:val="24"/>
          <w:lang w:val="el-GR"/>
        </w:rPr>
      </w:pPr>
      <w:r w:rsidRPr="00CF445B">
        <w:rPr>
          <w:rFonts w:asciiTheme="majorHAnsi" w:hAnsiTheme="majorHAnsi" w:cstheme="majorHAnsi"/>
          <w:sz w:val="24"/>
          <w:szCs w:val="24"/>
          <w:lang w:val="el-GR"/>
        </w:rPr>
        <w:t>Δεδομένων των δηλώσεων του Προτείνοντος στο Πληροφοριακό Δελτίο, τα αποτελέσματα της Δημόσιας Πρότασης δεν αναμένεται να επηρεάσουν αρνητικά τα συμφέροντα της Εταιρείας, ούτε να δημιουργήσουν δυσμενή αντίκτυπο στο συνολικό αριθμό των εργαζομένων στην Εταιρεία καθώς και στους όρους της απασχόλησής τους, στο βαθμό που δεν επέλθουν σημαντικές μεταβολές στις υφιστάμενες συνθήκες της αγοράς και της οικονομίας.</w:t>
      </w:r>
    </w:p>
    <w:p w14:paraId="29C8C9B4" w14:textId="77777777" w:rsidR="00E50563" w:rsidRPr="00CF445B" w:rsidRDefault="00E50563" w:rsidP="00E50563">
      <w:pPr>
        <w:pStyle w:val="ListParagraph"/>
        <w:spacing w:before="100" w:beforeAutospacing="1" w:after="100" w:afterAutospacing="1" w:line="240" w:lineRule="auto"/>
        <w:jc w:val="both"/>
        <w:rPr>
          <w:rFonts w:asciiTheme="majorHAnsi" w:hAnsiTheme="majorHAnsi" w:cstheme="majorHAnsi"/>
          <w:sz w:val="24"/>
          <w:szCs w:val="24"/>
          <w:highlight w:val="yellow"/>
          <w:lang w:val="el-GR"/>
        </w:rPr>
      </w:pPr>
    </w:p>
    <w:p w14:paraId="16EEB6AA" w14:textId="7776359F" w:rsidR="00E50563" w:rsidRPr="00CF445B" w:rsidRDefault="00E50563" w:rsidP="00E50563">
      <w:pPr>
        <w:pStyle w:val="ListParagraph"/>
        <w:numPr>
          <w:ilvl w:val="0"/>
          <w:numId w:val="2"/>
        </w:numPr>
        <w:spacing w:before="100" w:beforeAutospacing="1" w:after="100" w:afterAutospacing="1" w:line="240" w:lineRule="auto"/>
        <w:jc w:val="both"/>
        <w:rPr>
          <w:rFonts w:asciiTheme="majorHAnsi" w:hAnsiTheme="majorHAnsi" w:cstheme="majorHAnsi"/>
          <w:sz w:val="24"/>
          <w:szCs w:val="24"/>
          <w:lang w:val="el-GR"/>
        </w:rPr>
      </w:pPr>
      <w:r w:rsidRPr="00CF445B">
        <w:rPr>
          <w:rFonts w:asciiTheme="majorHAnsi" w:hAnsiTheme="majorHAnsi" w:cstheme="majorHAnsi"/>
          <w:sz w:val="24"/>
          <w:szCs w:val="24"/>
          <w:lang w:val="el-GR"/>
        </w:rPr>
        <w:t xml:space="preserve">Η Δημόσια Πρόταση παρέχει στους μετόχους της Εταιρείας τη δυνατότητα </w:t>
      </w:r>
      <w:proofErr w:type="spellStart"/>
      <w:r w:rsidRPr="00CF445B">
        <w:rPr>
          <w:rFonts w:asciiTheme="majorHAnsi" w:hAnsiTheme="majorHAnsi" w:cstheme="majorHAnsi"/>
          <w:sz w:val="24"/>
          <w:szCs w:val="24"/>
          <w:lang w:val="el-GR"/>
        </w:rPr>
        <w:t>αποεπένδυσης</w:t>
      </w:r>
      <w:proofErr w:type="spellEnd"/>
      <w:r w:rsidRPr="00CF445B">
        <w:rPr>
          <w:rFonts w:asciiTheme="majorHAnsi" w:hAnsiTheme="majorHAnsi" w:cstheme="majorHAnsi"/>
          <w:sz w:val="24"/>
          <w:szCs w:val="24"/>
          <w:lang w:val="el-GR"/>
        </w:rPr>
        <w:t xml:space="preserve"> με αντάλλαγμα </w:t>
      </w:r>
      <w:r w:rsidR="00A14AE5">
        <w:rPr>
          <w:rFonts w:asciiTheme="majorHAnsi" w:hAnsiTheme="majorHAnsi" w:cstheme="majorHAnsi"/>
          <w:sz w:val="24"/>
          <w:szCs w:val="24"/>
          <w:lang w:val="el-GR"/>
        </w:rPr>
        <w:t>συνδυασμό μετρητών και κινητών αξιών</w:t>
      </w:r>
      <w:r w:rsidR="00C03895">
        <w:rPr>
          <w:rFonts w:asciiTheme="majorHAnsi" w:hAnsiTheme="majorHAnsi" w:cstheme="majorHAnsi"/>
          <w:sz w:val="24"/>
          <w:szCs w:val="24"/>
          <w:lang w:val="el-GR"/>
        </w:rPr>
        <w:t xml:space="preserve"> του Προτείνοντος</w:t>
      </w:r>
      <w:r w:rsidR="00A14AE5">
        <w:rPr>
          <w:rFonts w:asciiTheme="majorHAnsi" w:hAnsiTheme="majorHAnsi" w:cstheme="majorHAnsi"/>
          <w:sz w:val="24"/>
          <w:szCs w:val="24"/>
          <w:lang w:val="el-GR"/>
        </w:rPr>
        <w:t>,</w:t>
      </w:r>
      <w:r w:rsidRPr="00CF445B">
        <w:rPr>
          <w:rFonts w:asciiTheme="majorHAnsi" w:hAnsiTheme="majorHAnsi" w:cstheme="majorHAnsi"/>
          <w:sz w:val="24"/>
          <w:szCs w:val="24"/>
          <w:lang w:val="el-GR"/>
        </w:rPr>
        <w:t xml:space="preserve"> το οποίο πληροί τις προϋποθέσεις του Ν. 3461/2006.</w:t>
      </w:r>
    </w:p>
    <w:p w14:paraId="5EE25B0B" w14:textId="77777777" w:rsidR="00E50563" w:rsidRPr="00CF445B" w:rsidRDefault="00E50563" w:rsidP="00E50563">
      <w:pPr>
        <w:pStyle w:val="ListParagraph"/>
        <w:spacing w:before="100" w:beforeAutospacing="1" w:after="100" w:afterAutospacing="1" w:line="240" w:lineRule="auto"/>
        <w:ind w:left="1080"/>
        <w:jc w:val="both"/>
        <w:rPr>
          <w:rFonts w:asciiTheme="majorHAnsi" w:hAnsiTheme="majorHAnsi" w:cstheme="majorHAnsi"/>
          <w:sz w:val="24"/>
          <w:szCs w:val="24"/>
          <w:lang w:val="el-GR"/>
        </w:rPr>
      </w:pPr>
    </w:p>
    <w:p w14:paraId="2CCB932F" w14:textId="77777777" w:rsidR="00E50563" w:rsidRPr="00CF445B" w:rsidRDefault="00E50563" w:rsidP="00E50563">
      <w:pPr>
        <w:pStyle w:val="ListParagraph"/>
        <w:spacing w:before="100" w:beforeAutospacing="1" w:after="100" w:afterAutospacing="1" w:line="240" w:lineRule="auto"/>
        <w:ind w:left="0" w:firstLine="360"/>
        <w:jc w:val="both"/>
        <w:rPr>
          <w:rFonts w:asciiTheme="majorHAnsi" w:hAnsiTheme="majorHAnsi" w:cstheme="majorHAnsi"/>
          <w:sz w:val="24"/>
          <w:szCs w:val="24"/>
          <w:lang w:val="el-GR"/>
        </w:rPr>
      </w:pPr>
      <w:r w:rsidRPr="00CF445B">
        <w:rPr>
          <w:rFonts w:asciiTheme="majorHAnsi" w:hAnsiTheme="majorHAnsi" w:cstheme="majorHAnsi"/>
          <w:sz w:val="24"/>
          <w:szCs w:val="24"/>
          <w:lang w:val="el-GR"/>
        </w:rPr>
        <w:t xml:space="preserve">Επισημαίνεται ότι η ως άνω γνώμη του Διοικητικού Συμβουλίου της Εταιρείας αποτελεί γενική αξιολόγηση των όρων της Δημόσιας Πρότασης, αποκλειστικά επί τη βάσει των </w:t>
      </w:r>
      <w:proofErr w:type="spellStart"/>
      <w:r w:rsidRPr="00CF445B">
        <w:rPr>
          <w:rFonts w:asciiTheme="majorHAnsi" w:hAnsiTheme="majorHAnsi" w:cstheme="majorHAnsi"/>
          <w:sz w:val="24"/>
          <w:szCs w:val="24"/>
          <w:lang w:val="el-GR"/>
        </w:rPr>
        <w:t>παρατιθεμένων</w:t>
      </w:r>
      <w:proofErr w:type="spellEnd"/>
      <w:r w:rsidRPr="00CF445B">
        <w:rPr>
          <w:rFonts w:asciiTheme="majorHAnsi" w:hAnsiTheme="majorHAnsi" w:cstheme="majorHAnsi"/>
          <w:sz w:val="24"/>
          <w:szCs w:val="24"/>
          <w:lang w:val="el-GR"/>
        </w:rPr>
        <w:t xml:space="preserve"> στην Εισαγωγή εγγράφων, και δεν συνιστά, ούτε δύναται να εκληφθεί, ως προτροπή ή αποτροπή προς τους μετόχους για την αποδοχή ή απόρριψη της Δημόσιας Πρότασης ή εν γένει για την πραγματοποίηση οποιασδήποτε συναλλαγής επί κινητών αξιών της Εταιρείας.</w:t>
      </w:r>
    </w:p>
    <w:p w14:paraId="18DA31EA" w14:textId="77777777" w:rsidR="00E50563" w:rsidRPr="00CF445B" w:rsidRDefault="00E50563" w:rsidP="00E50563">
      <w:pPr>
        <w:pStyle w:val="ListParagraph"/>
        <w:spacing w:before="100" w:beforeAutospacing="1" w:after="100" w:afterAutospacing="1" w:line="240" w:lineRule="auto"/>
        <w:ind w:left="0"/>
        <w:jc w:val="both"/>
        <w:rPr>
          <w:rFonts w:asciiTheme="majorHAnsi" w:hAnsiTheme="majorHAnsi" w:cstheme="majorHAnsi"/>
          <w:sz w:val="24"/>
          <w:szCs w:val="24"/>
          <w:lang w:val="el-GR"/>
        </w:rPr>
      </w:pPr>
    </w:p>
    <w:p w14:paraId="05B9AE8F" w14:textId="77777777" w:rsidR="00E50563" w:rsidRPr="00CF445B" w:rsidRDefault="00E50563" w:rsidP="00E50563">
      <w:pPr>
        <w:pStyle w:val="ListParagraph"/>
        <w:spacing w:before="100" w:beforeAutospacing="1" w:after="100" w:afterAutospacing="1" w:line="240" w:lineRule="auto"/>
        <w:ind w:left="0" w:firstLine="360"/>
        <w:jc w:val="both"/>
        <w:rPr>
          <w:rFonts w:asciiTheme="majorHAnsi" w:hAnsiTheme="majorHAnsi" w:cstheme="majorHAnsi"/>
          <w:sz w:val="24"/>
          <w:szCs w:val="24"/>
          <w:lang w:val="el-GR"/>
        </w:rPr>
      </w:pPr>
      <w:r w:rsidRPr="00CF445B">
        <w:rPr>
          <w:rFonts w:asciiTheme="majorHAnsi" w:hAnsiTheme="majorHAnsi" w:cstheme="majorHAnsi"/>
          <w:sz w:val="24"/>
          <w:szCs w:val="24"/>
          <w:lang w:val="el-GR"/>
        </w:rPr>
        <w:t xml:space="preserve">Με βάση τις διατάξεις των άρθρων 15 και 16 του Ν.3461/2006, η παρούσα αιτιολογημένη γνώμη του Διοικητικού Συμβουλίου της Εταιρείας συντάσσεται, υποβάλλεται στην Επιτροπή Κεφαλαιαγοράς και στον Προτείνοντα, γνωστοποιείται στους εκπροσώπους των εργαζομένων της Εταιρείας και δημοσιεύεται μαζί με την Έκθεση του Συμβούλου. </w:t>
      </w:r>
    </w:p>
    <w:p w14:paraId="3F6A618A" w14:textId="77777777" w:rsidR="00E50563" w:rsidRPr="00CF445B" w:rsidRDefault="00E50563" w:rsidP="00E50563">
      <w:pPr>
        <w:pStyle w:val="ListParagraph"/>
        <w:spacing w:before="100" w:beforeAutospacing="1" w:after="100" w:afterAutospacing="1" w:line="240" w:lineRule="auto"/>
        <w:ind w:left="0" w:firstLine="360"/>
        <w:jc w:val="both"/>
        <w:rPr>
          <w:rFonts w:asciiTheme="majorHAnsi" w:hAnsiTheme="majorHAnsi" w:cstheme="majorHAnsi"/>
          <w:sz w:val="24"/>
          <w:szCs w:val="24"/>
          <w:lang w:val="el-GR"/>
        </w:rPr>
      </w:pPr>
    </w:p>
    <w:p w14:paraId="6F2CD0CF" w14:textId="16B965B5" w:rsidR="00E50563" w:rsidRPr="00CF445B" w:rsidRDefault="00E50563" w:rsidP="00E50563">
      <w:pPr>
        <w:pStyle w:val="ListParagraph"/>
        <w:spacing w:before="100" w:beforeAutospacing="1" w:after="100" w:afterAutospacing="1" w:line="240" w:lineRule="auto"/>
        <w:ind w:left="0" w:firstLine="360"/>
        <w:jc w:val="both"/>
        <w:rPr>
          <w:rFonts w:asciiTheme="majorHAnsi" w:hAnsiTheme="majorHAnsi" w:cstheme="majorHAnsi"/>
          <w:sz w:val="24"/>
          <w:szCs w:val="24"/>
          <w:lang w:val="el-GR"/>
        </w:rPr>
      </w:pPr>
      <w:r w:rsidRPr="00CF445B">
        <w:rPr>
          <w:rFonts w:asciiTheme="majorHAnsi" w:hAnsiTheme="majorHAnsi" w:cstheme="majorHAnsi"/>
          <w:sz w:val="24"/>
          <w:szCs w:val="24"/>
          <w:lang w:val="el-GR"/>
        </w:rPr>
        <w:t>Η παρούσα αιτιολογημένη γνώμη του Διοικητικού Συμβουλίου της Εταιρείας και η Έκθεση του Συμβούλου θα είναι διαθέσιμες μέσω της ιστοσελίδας της Εταιρείας (</w:t>
      </w:r>
      <w:hyperlink r:id="rId9" w:history="1">
        <w:r w:rsidR="00C40683" w:rsidRPr="0013438E">
          <w:rPr>
            <w:rStyle w:val="Hyperlink"/>
            <w:rFonts w:asciiTheme="majorHAnsi" w:hAnsiTheme="majorHAnsi" w:cstheme="majorHAnsi"/>
            <w:sz w:val="24"/>
            <w:szCs w:val="24"/>
            <w:lang w:val="el-GR"/>
          </w:rPr>
          <w:t>http://www.</w:t>
        </w:r>
        <w:r w:rsidR="00C40683" w:rsidRPr="0013438E">
          <w:rPr>
            <w:rStyle w:val="Hyperlink"/>
            <w:rFonts w:asciiTheme="majorHAnsi" w:hAnsiTheme="majorHAnsi" w:cstheme="majorHAnsi"/>
            <w:sz w:val="24"/>
            <w:szCs w:val="24"/>
            <w:lang w:val="en-US"/>
          </w:rPr>
          <w:t>byte</w:t>
        </w:r>
        <w:r w:rsidR="00C40683" w:rsidRPr="0013438E">
          <w:rPr>
            <w:rStyle w:val="Hyperlink"/>
            <w:rFonts w:asciiTheme="majorHAnsi" w:hAnsiTheme="majorHAnsi" w:cstheme="majorHAnsi"/>
            <w:sz w:val="24"/>
            <w:szCs w:val="24"/>
            <w:lang w:val="el-GR"/>
          </w:rPr>
          <w:t>.</w:t>
        </w:r>
        <w:r w:rsidR="00C40683" w:rsidRPr="0013438E">
          <w:rPr>
            <w:rStyle w:val="Hyperlink"/>
            <w:rFonts w:asciiTheme="majorHAnsi" w:hAnsiTheme="majorHAnsi" w:cstheme="majorHAnsi"/>
            <w:sz w:val="24"/>
            <w:szCs w:val="24"/>
            <w:lang w:val="en-US"/>
          </w:rPr>
          <w:t>gr</w:t>
        </w:r>
      </w:hyperlink>
      <w:r w:rsidRPr="00CF445B">
        <w:rPr>
          <w:rFonts w:asciiTheme="majorHAnsi" w:hAnsiTheme="majorHAnsi" w:cstheme="majorHAnsi"/>
          <w:sz w:val="24"/>
          <w:szCs w:val="24"/>
          <w:lang w:val="el-GR"/>
        </w:rPr>
        <w:t xml:space="preserve">)και της ιστοσελίδας του Χρηματιστηρίου Αθηνών </w:t>
      </w:r>
      <w:r w:rsidRPr="007B0B28">
        <w:rPr>
          <w:rFonts w:asciiTheme="majorHAnsi" w:hAnsiTheme="majorHAnsi" w:cstheme="majorHAnsi"/>
          <w:sz w:val="24"/>
          <w:szCs w:val="24"/>
          <w:lang w:val="el-GR"/>
        </w:rPr>
        <w:t>(</w:t>
      </w:r>
      <w:hyperlink r:id="rId10" w:history="1">
        <w:r w:rsidRPr="007B0B28">
          <w:rPr>
            <w:rStyle w:val="Hyperlink"/>
            <w:rFonts w:asciiTheme="majorHAnsi" w:hAnsiTheme="majorHAnsi" w:cstheme="majorHAnsi"/>
            <w:sz w:val="24"/>
            <w:szCs w:val="24"/>
            <w:lang w:val="el-GR"/>
          </w:rPr>
          <w:t>http://www.helex.gr</w:t>
        </w:r>
      </w:hyperlink>
      <w:r w:rsidRPr="007B0B28">
        <w:rPr>
          <w:rFonts w:asciiTheme="majorHAnsi" w:hAnsiTheme="majorHAnsi" w:cstheme="majorHAnsi"/>
          <w:sz w:val="24"/>
          <w:szCs w:val="24"/>
          <w:lang w:val="el-GR"/>
        </w:rPr>
        <w:t>)</w:t>
      </w:r>
      <w:r w:rsidRPr="00CF445B">
        <w:rPr>
          <w:rFonts w:asciiTheme="majorHAnsi" w:hAnsiTheme="majorHAnsi" w:cstheme="majorHAnsi"/>
          <w:sz w:val="24"/>
          <w:szCs w:val="24"/>
          <w:lang w:val="el-GR"/>
        </w:rPr>
        <w:t>. Επίσης, αντίτυπα αυτών των εγγράφων θα είναι διαθέσιμα από την ανωτέρω ημερομηνία και καθ’ όλη την Περίοδο Αποδοχής (όπως ορίζεται στο Πληροφοριακό Δελτίο) στα γραφεία της Εταιρεία</w:t>
      </w:r>
      <w:bookmarkStart w:id="10" w:name="_Hlk78377143"/>
      <w:r w:rsidRPr="00CF445B">
        <w:rPr>
          <w:rFonts w:asciiTheme="majorHAnsi" w:hAnsiTheme="majorHAnsi" w:cstheme="majorHAnsi"/>
          <w:sz w:val="24"/>
          <w:szCs w:val="24"/>
          <w:lang w:val="el-GR"/>
        </w:rPr>
        <w:t xml:space="preserve">ς, </w:t>
      </w:r>
      <w:r w:rsidRPr="00CF445B">
        <w:rPr>
          <w:rFonts w:asciiTheme="majorHAnsi" w:hAnsiTheme="majorHAnsi" w:cstheme="majorHAnsi"/>
          <w:bCs/>
          <w:sz w:val="24"/>
          <w:szCs w:val="24"/>
          <w:lang w:val="el-GR"/>
        </w:rPr>
        <w:t>Δ/</w:t>
      </w:r>
      <w:proofErr w:type="spellStart"/>
      <w:r w:rsidRPr="00CF445B">
        <w:rPr>
          <w:rFonts w:asciiTheme="majorHAnsi" w:hAnsiTheme="majorHAnsi" w:cstheme="majorHAnsi"/>
          <w:bCs/>
          <w:sz w:val="24"/>
          <w:szCs w:val="24"/>
          <w:lang w:val="el-GR"/>
        </w:rPr>
        <w:t>νση:</w:t>
      </w:r>
      <w:r w:rsidR="007B0B28">
        <w:rPr>
          <w:rFonts w:asciiTheme="majorHAnsi" w:hAnsiTheme="majorHAnsi" w:cstheme="majorHAnsi"/>
          <w:bCs/>
          <w:sz w:val="24"/>
          <w:szCs w:val="24"/>
          <w:lang w:val="el-GR"/>
        </w:rPr>
        <w:t>Καλλ</w:t>
      </w:r>
      <w:r w:rsidR="00FA09C9">
        <w:rPr>
          <w:rFonts w:asciiTheme="majorHAnsi" w:hAnsiTheme="majorHAnsi" w:cstheme="majorHAnsi"/>
          <w:bCs/>
          <w:sz w:val="24"/>
          <w:szCs w:val="24"/>
          <w:lang w:val="el-GR"/>
        </w:rPr>
        <w:t>ι</w:t>
      </w:r>
      <w:bookmarkStart w:id="11" w:name="_GoBack"/>
      <w:bookmarkEnd w:id="11"/>
      <w:r w:rsidR="007B0B28">
        <w:rPr>
          <w:rFonts w:asciiTheme="majorHAnsi" w:hAnsiTheme="majorHAnsi" w:cstheme="majorHAnsi"/>
          <w:bCs/>
          <w:sz w:val="24"/>
          <w:szCs w:val="24"/>
          <w:lang w:val="el-GR"/>
        </w:rPr>
        <w:t>ρρόης</w:t>
      </w:r>
      <w:proofErr w:type="spellEnd"/>
      <w:r w:rsidR="007B0B28">
        <w:rPr>
          <w:rFonts w:asciiTheme="majorHAnsi" w:hAnsiTheme="majorHAnsi" w:cstheme="majorHAnsi"/>
          <w:bCs/>
          <w:sz w:val="24"/>
          <w:szCs w:val="24"/>
          <w:lang w:val="el-GR"/>
        </w:rPr>
        <w:t xml:space="preserve"> 98 Αθήνα </w:t>
      </w:r>
      <w:r w:rsidRPr="00CF445B">
        <w:rPr>
          <w:rFonts w:asciiTheme="majorHAnsi" w:hAnsiTheme="majorHAnsi" w:cstheme="majorHAnsi"/>
          <w:sz w:val="24"/>
          <w:szCs w:val="24"/>
          <w:lang w:val="el-GR"/>
        </w:rPr>
        <w:t xml:space="preserve">, </w:t>
      </w:r>
      <w:r w:rsidRPr="00CF445B">
        <w:rPr>
          <w:rFonts w:asciiTheme="majorHAnsi" w:hAnsiTheme="majorHAnsi" w:cstheme="majorHAnsi"/>
          <w:bCs/>
          <w:sz w:val="24"/>
          <w:szCs w:val="24"/>
          <w:lang w:val="el-GR"/>
        </w:rPr>
        <w:t>τηλ</w:t>
      </w:r>
      <w:r w:rsidR="007B0B28">
        <w:rPr>
          <w:rFonts w:asciiTheme="majorHAnsi" w:hAnsiTheme="majorHAnsi" w:cstheme="majorHAnsi"/>
          <w:bCs/>
          <w:sz w:val="24"/>
          <w:szCs w:val="24"/>
          <w:lang w:val="el-GR"/>
        </w:rPr>
        <w:t>2109002000</w:t>
      </w:r>
      <w:r w:rsidRPr="00CF445B">
        <w:rPr>
          <w:rFonts w:asciiTheme="majorHAnsi" w:hAnsiTheme="majorHAnsi" w:cstheme="majorHAnsi"/>
          <w:sz w:val="24"/>
          <w:szCs w:val="24"/>
          <w:lang w:val="el-GR"/>
        </w:rPr>
        <w:t xml:space="preserve">, </w:t>
      </w:r>
      <w:r w:rsidRPr="00CF445B">
        <w:rPr>
          <w:rFonts w:asciiTheme="majorHAnsi" w:hAnsiTheme="majorHAnsi" w:cstheme="majorHAnsi"/>
          <w:bCs/>
          <w:sz w:val="24"/>
          <w:szCs w:val="24"/>
          <w:lang w:val="el-GR"/>
        </w:rPr>
        <w:t xml:space="preserve"> </w:t>
      </w:r>
      <w:r w:rsidRPr="00CF445B">
        <w:rPr>
          <w:rFonts w:asciiTheme="majorHAnsi" w:hAnsiTheme="majorHAnsi" w:cstheme="majorHAnsi"/>
          <w:bCs/>
          <w:sz w:val="24"/>
          <w:szCs w:val="24"/>
          <w:lang w:val="en-US"/>
        </w:rPr>
        <w:t>e</w:t>
      </w:r>
      <w:r w:rsidRPr="00CF445B">
        <w:rPr>
          <w:rFonts w:asciiTheme="majorHAnsi" w:hAnsiTheme="majorHAnsi" w:cstheme="majorHAnsi"/>
          <w:bCs/>
          <w:sz w:val="24"/>
          <w:szCs w:val="24"/>
          <w:lang w:val="el-GR"/>
        </w:rPr>
        <w:t>-</w:t>
      </w:r>
      <w:r w:rsidRPr="00CF445B">
        <w:rPr>
          <w:rFonts w:asciiTheme="majorHAnsi" w:hAnsiTheme="majorHAnsi" w:cstheme="majorHAnsi"/>
          <w:bCs/>
          <w:sz w:val="24"/>
          <w:szCs w:val="24"/>
          <w:lang w:val="en-US"/>
        </w:rPr>
        <w:t>mail</w:t>
      </w:r>
      <w:r w:rsidR="007B0B28">
        <w:rPr>
          <w:rFonts w:asciiTheme="majorHAnsi" w:hAnsiTheme="majorHAnsi" w:cstheme="majorHAnsi"/>
          <w:bCs/>
          <w:sz w:val="24"/>
          <w:szCs w:val="24"/>
          <w:lang w:val="el-GR"/>
        </w:rPr>
        <w:t xml:space="preserve"> </w:t>
      </w:r>
      <w:r w:rsidR="007B0B28">
        <w:rPr>
          <w:rFonts w:asciiTheme="majorHAnsi" w:hAnsiTheme="majorHAnsi" w:cstheme="majorHAnsi"/>
          <w:bCs/>
          <w:sz w:val="24"/>
          <w:szCs w:val="24"/>
          <w:lang w:val="en-US"/>
        </w:rPr>
        <w:t>info</w:t>
      </w:r>
      <w:r w:rsidR="007B0B28" w:rsidRPr="007B0B28">
        <w:rPr>
          <w:rFonts w:asciiTheme="majorHAnsi" w:hAnsiTheme="majorHAnsi" w:cstheme="majorHAnsi"/>
          <w:bCs/>
          <w:sz w:val="24"/>
          <w:szCs w:val="24"/>
          <w:lang w:val="el-GR"/>
        </w:rPr>
        <w:t>@</w:t>
      </w:r>
      <w:r w:rsidR="007B0B28">
        <w:rPr>
          <w:rFonts w:asciiTheme="majorHAnsi" w:hAnsiTheme="majorHAnsi" w:cstheme="majorHAnsi"/>
          <w:bCs/>
          <w:sz w:val="24"/>
          <w:szCs w:val="24"/>
          <w:lang w:val="en-US"/>
        </w:rPr>
        <w:t>byte</w:t>
      </w:r>
      <w:r w:rsidR="007B0B28" w:rsidRPr="007B0B28">
        <w:rPr>
          <w:rFonts w:asciiTheme="majorHAnsi" w:hAnsiTheme="majorHAnsi" w:cstheme="majorHAnsi"/>
          <w:bCs/>
          <w:sz w:val="24"/>
          <w:szCs w:val="24"/>
          <w:lang w:val="el-GR"/>
        </w:rPr>
        <w:t>.</w:t>
      </w:r>
      <w:r w:rsidR="007B0B28">
        <w:rPr>
          <w:rFonts w:asciiTheme="majorHAnsi" w:hAnsiTheme="majorHAnsi" w:cstheme="majorHAnsi"/>
          <w:bCs/>
          <w:sz w:val="24"/>
          <w:szCs w:val="24"/>
          <w:lang w:val="en-US"/>
        </w:rPr>
        <w:t>gr</w:t>
      </w:r>
      <w:r w:rsidRPr="00CF445B">
        <w:rPr>
          <w:rFonts w:asciiTheme="majorHAnsi" w:hAnsiTheme="majorHAnsi" w:cstheme="majorHAnsi"/>
          <w:bCs/>
          <w:sz w:val="24"/>
          <w:szCs w:val="24"/>
          <w:lang w:val="el-GR"/>
        </w:rPr>
        <w:t>.</w:t>
      </w:r>
      <w:bookmarkEnd w:id="10"/>
    </w:p>
    <w:p w14:paraId="255381B3" w14:textId="77777777" w:rsidR="00E50563" w:rsidRPr="00CF445B" w:rsidRDefault="00E50563" w:rsidP="00E50563">
      <w:pPr>
        <w:pStyle w:val="ListParagraph"/>
        <w:spacing w:before="100" w:beforeAutospacing="1" w:after="100" w:afterAutospacing="1" w:line="240" w:lineRule="auto"/>
        <w:ind w:left="0"/>
        <w:jc w:val="both"/>
        <w:rPr>
          <w:rFonts w:asciiTheme="majorHAnsi" w:hAnsiTheme="majorHAnsi" w:cstheme="majorHAnsi"/>
          <w:sz w:val="24"/>
          <w:szCs w:val="24"/>
          <w:lang w:val="el-GR"/>
        </w:rPr>
      </w:pPr>
    </w:p>
    <w:p w14:paraId="0FA3641B" w14:textId="77777777" w:rsidR="00E50563" w:rsidRPr="00CF445B" w:rsidRDefault="00E50563" w:rsidP="00E50563">
      <w:pPr>
        <w:pStyle w:val="ListParagraph"/>
        <w:spacing w:before="100" w:beforeAutospacing="1" w:after="100" w:afterAutospacing="1" w:line="240" w:lineRule="auto"/>
        <w:ind w:left="0"/>
        <w:jc w:val="both"/>
        <w:rPr>
          <w:rFonts w:asciiTheme="majorHAnsi" w:hAnsiTheme="majorHAnsi" w:cstheme="majorHAnsi"/>
          <w:sz w:val="24"/>
          <w:szCs w:val="24"/>
          <w:lang w:val="el-GR"/>
        </w:rPr>
      </w:pPr>
    </w:p>
    <w:p w14:paraId="0A441C81" w14:textId="77777777" w:rsidR="00E50563" w:rsidRPr="00CF445B" w:rsidRDefault="00E50563" w:rsidP="00E50563">
      <w:pPr>
        <w:pStyle w:val="ListParagraph"/>
        <w:spacing w:before="100" w:beforeAutospacing="1" w:after="100" w:afterAutospacing="1" w:line="240" w:lineRule="auto"/>
        <w:ind w:left="0"/>
        <w:jc w:val="center"/>
        <w:rPr>
          <w:rFonts w:asciiTheme="majorHAnsi" w:hAnsiTheme="majorHAnsi" w:cstheme="majorHAnsi"/>
          <w:b/>
          <w:sz w:val="24"/>
          <w:szCs w:val="24"/>
          <w:lang w:val="el-GR"/>
        </w:rPr>
      </w:pPr>
      <w:r w:rsidRPr="00CF445B">
        <w:rPr>
          <w:rFonts w:asciiTheme="majorHAnsi" w:hAnsiTheme="majorHAnsi" w:cstheme="majorHAnsi"/>
          <w:b/>
          <w:sz w:val="24"/>
          <w:szCs w:val="24"/>
          <w:lang w:val="el-GR"/>
        </w:rPr>
        <w:t xml:space="preserve">Αθήνα,  </w:t>
      </w:r>
      <w:bookmarkStart w:id="12" w:name="_Hlk78377150"/>
      <w:r w:rsidRPr="00CF445B">
        <w:rPr>
          <w:rFonts w:asciiTheme="majorHAnsi" w:hAnsiTheme="majorHAnsi" w:cstheme="majorHAnsi"/>
          <w:b/>
          <w:sz w:val="24"/>
          <w:szCs w:val="24"/>
          <w:lang w:val="el-GR"/>
        </w:rPr>
        <w:t>17.08.2022</w:t>
      </w:r>
    </w:p>
    <w:bookmarkEnd w:id="12"/>
    <w:p w14:paraId="72063948" w14:textId="77777777" w:rsidR="00E50563" w:rsidRPr="00CF445B" w:rsidRDefault="00E50563" w:rsidP="00E50563">
      <w:pPr>
        <w:pStyle w:val="ListParagraph"/>
        <w:spacing w:before="100" w:beforeAutospacing="1" w:after="100" w:afterAutospacing="1" w:line="240" w:lineRule="auto"/>
        <w:ind w:left="0"/>
        <w:jc w:val="center"/>
        <w:rPr>
          <w:rFonts w:asciiTheme="majorHAnsi" w:hAnsiTheme="majorHAnsi" w:cstheme="majorHAnsi"/>
          <w:b/>
          <w:sz w:val="24"/>
          <w:szCs w:val="24"/>
          <w:lang w:val="el-GR"/>
        </w:rPr>
      </w:pPr>
    </w:p>
    <w:p w14:paraId="73D076BD" w14:textId="77777777" w:rsidR="00E50563" w:rsidRPr="00CF445B" w:rsidRDefault="00E50563" w:rsidP="00E50563">
      <w:pPr>
        <w:pStyle w:val="ListParagraph"/>
        <w:spacing w:before="100" w:beforeAutospacing="1" w:after="100" w:afterAutospacing="1" w:line="240" w:lineRule="auto"/>
        <w:ind w:left="0"/>
        <w:jc w:val="center"/>
        <w:rPr>
          <w:rFonts w:asciiTheme="majorHAnsi" w:hAnsiTheme="majorHAnsi" w:cstheme="majorHAnsi"/>
          <w:b/>
          <w:sz w:val="24"/>
          <w:szCs w:val="24"/>
          <w:lang w:val="el-GR"/>
        </w:rPr>
      </w:pPr>
      <w:r w:rsidRPr="00CF445B">
        <w:rPr>
          <w:rFonts w:asciiTheme="majorHAnsi" w:hAnsiTheme="majorHAnsi" w:cstheme="majorHAnsi"/>
          <w:b/>
          <w:sz w:val="24"/>
          <w:szCs w:val="24"/>
          <w:lang w:val="el-GR"/>
        </w:rPr>
        <w:t>Το Διοικητικό Συμβούλιο</w:t>
      </w:r>
    </w:p>
    <w:p w14:paraId="63C641E6" w14:textId="77777777" w:rsidR="00FE5DCB" w:rsidRDefault="00FE5DCB"/>
    <w:sectPr w:rsidR="00FE5D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PA-SansSerif-Light">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9232C"/>
    <w:multiLevelType w:val="hybridMultilevel"/>
    <w:tmpl w:val="D0584C6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FE221DE"/>
    <w:multiLevelType w:val="hybridMultilevel"/>
    <w:tmpl w:val="F66C5990"/>
    <w:lvl w:ilvl="0" w:tplc="442E2E76">
      <w:start w:val="1"/>
      <w:numFmt w:val="decimal"/>
      <w:lvlText w:val="%1."/>
      <w:lvlJc w:val="left"/>
      <w:rPr>
        <w:rFonts w:asciiTheme="minorHAnsi" w:hAnsiTheme="minorHAnsi" w:hint="default"/>
        <w:b/>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47677C8A"/>
    <w:multiLevelType w:val="hybridMultilevel"/>
    <w:tmpl w:val="6FDA81C6"/>
    <w:lvl w:ilvl="0" w:tplc="0376396C">
      <w:start w:val="2"/>
      <w:numFmt w:val="bullet"/>
      <w:lvlText w:val="-"/>
      <w:lvlJc w:val="left"/>
      <w:pPr>
        <w:ind w:left="720" w:hanging="360"/>
      </w:pPr>
      <w:rPr>
        <w:rFonts w:ascii="Calibri" w:eastAsia="MS Mincho"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E303DF2"/>
    <w:multiLevelType w:val="hybridMultilevel"/>
    <w:tmpl w:val="CA0E09C4"/>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74140512"/>
    <w:multiLevelType w:val="hybridMultilevel"/>
    <w:tmpl w:val="26668F40"/>
    <w:lvl w:ilvl="0" w:tplc="0346FDD2">
      <w:start w:val="2"/>
      <w:numFmt w:val="bullet"/>
      <w:lvlText w:val="-"/>
      <w:lvlJc w:val="left"/>
      <w:pPr>
        <w:ind w:left="644" w:hanging="360"/>
      </w:pPr>
      <w:rPr>
        <w:rFonts w:ascii="Calibri Light" w:eastAsia="MS Mincho" w:hAnsi="Calibri Light" w:cstheme="majorHAnsi"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563"/>
    <w:rsid w:val="0005667D"/>
    <w:rsid w:val="000A0C26"/>
    <w:rsid w:val="000C029B"/>
    <w:rsid w:val="000F7C0E"/>
    <w:rsid w:val="00115A84"/>
    <w:rsid w:val="001C5AC1"/>
    <w:rsid w:val="0021007C"/>
    <w:rsid w:val="00212575"/>
    <w:rsid w:val="002A1F09"/>
    <w:rsid w:val="00303347"/>
    <w:rsid w:val="00383AEB"/>
    <w:rsid w:val="003855D8"/>
    <w:rsid w:val="0042604D"/>
    <w:rsid w:val="0043245B"/>
    <w:rsid w:val="00432AAC"/>
    <w:rsid w:val="004F352F"/>
    <w:rsid w:val="00523406"/>
    <w:rsid w:val="005A0320"/>
    <w:rsid w:val="00637991"/>
    <w:rsid w:val="00644BA4"/>
    <w:rsid w:val="006E5857"/>
    <w:rsid w:val="007402A0"/>
    <w:rsid w:val="00743B5B"/>
    <w:rsid w:val="007445CF"/>
    <w:rsid w:val="00744EB9"/>
    <w:rsid w:val="00765F32"/>
    <w:rsid w:val="00774BAC"/>
    <w:rsid w:val="007B0B28"/>
    <w:rsid w:val="007F5F84"/>
    <w:rsid w:val="008569A8"/>
    <w:rsid w:val="008715E7"/>
    <w:rsid w:val="00872AFF"/>
    <w:rsid w:val="008752D2"/>
    <w:rsid w:val="0098780B"/>
    <w:rsid w:val="009F335D"/>
    <w:rsid w:val="00A01361"/>
    <w:rsid w:val="00A14AE5"/>
    <w:rsid w:val="00A1633C"/>
    <w:rsid w:val="00A662A5"/>
    <w:rsid w:val="00A95845"/>
    <w:rsid w:val="00AD4132"/>
    <w:rsid w:val="00AE1EDA"/>
    <w:rsid w:val="00AE6EAF"/>
    <w:rsid w:val="00B531B1"/>
    <w:rsid w:val="00BD3681"/>
    <w:rsid w:val="00C03895"/>
    <w:rsid w:val="00C34896"/>
    <w:rsid w:val="00C40683"/>
    <w:rsid w:val="00C522A7"/>
    <w:rsid w:val="00C73A66"/>
    <w:rsid w:val="00D13254"/>
    <w:rsid w:val="00D41932"/>
    <w:rsid w:val="00D6330F"/>
    <w:rsid w:val="00D6735B"/>
    <w:rsid w:val="00E50563"/>
    <w:rsid w:val="00E54BC8"/>
    <w:rsid w:val="00E5754F"/>
    <w:rsid w:val="00EC580D"/>
    <w:rsid w:val="00ED2F1A"/>
    <w:rsid w:val="00F10D3D"/>
    <w:rsid w:val="00F161C0"/>
    <w:rsid w:val="00F752B9"/>
    <w:rsid w:val="00FA09C9"/>
    <w:rsid w:val="00FC0ACF"/>
    <w:rsid w:val="00FE5D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E4F77"/>
  <w15:docId w15:val="{A1B3DCE7-C711-4AE3-B4B5-FA4FA040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563"/>
    <w:pPr>
      <w:spacing w:after="200" w:line="276" w:lineRule="auto"/>
    </w:pPr>
    <w:rPr>
      <w:sz w:val="22"/>
      <w:szCs w:val="22"/>
      <w:lang w:val="en-GB"/>
    </w:rPr>
  </w:style>
  <w:style w:type="paragraph" w:styleId="Heading1">
    <w:name w:val="heading 1"/>
    <w:basedOn w:val="Normal"/>
    <w:next w:val="Normal"/>
    <w:link w:val="Heading1Char"/>
    <w:qFormat/>
    <w:rsid w:val="00E50563"/>
    <w:pPr>
      <w:keepNext/>
      <w:overflowPunct w:val="0"/>
      <w:autoSpaceDE w:val="0"/>
      <w:autoSpaceDN w:val="0"/>
      <w:adjustRightInd w:val="0"/>
      <w:spacing w:after="0" w:line="360" w:lineRule="auto"/>
      <w:ind w:left="2160" w:firstLine="720"/>
      <w:outlineLvl w:val="0"/>
    </w:pPr>
    <w:rPr>
      <w:rFonts w:ascii="PA-SansSerif-Light" w:eastAsia="Times New Roman" w:hAnsi="PA-SansSerif-Light" w:cs="Times New Roman"/>
      <w:sz w:val="24"/>
      <w:szCs w:val="20"/>
      <w:lang w:val="x-none" w:eastAsia="el-GR"/>
    </w:rPr>
  </w:style>
  <w:style w:type="paragraph" w:styleId="Heading2">
    <w:name w:val="heading 2"/>
    <w:basedOn w:val="Normal"/>
    <w:next w:val="Normal"/>
    <w:link w:val="Heading2Char"/>
    <w:uiPriority w:val="9"/>
    <w:semiHidden/>
    <w:unhideWhenUsed/>
    <w:qFormat/>
    <w:rsid w:val="00E505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0563"/>
    <w:rPr>
      <w:rFonts w:ascii="PA-SansSerif-Light" w:eastAsia="Times New Roman" w:hAnsi="PA-SansSerif-Light" w:cs="Times New Roman"/>
      <w:szCs w:val="20"/>
      <w:lang w:val="x-none" w:eastAsia="el-GR"/>
    </w:rPr>
  </w:style>
  <w:style w:type="character" w:customStyle="1" w:styleId="Heading2Char">
    <w:name w:val="Heading 2 Char"/>
    <w:basedOn w:val="DefaultParagraphFont"/>
    <w:link w:val="Heading2"/>
    <w:uiPriority w:val="9"/>
    <w:semiHidden/>
    <w:rsid w:val="00E50563"/>
    <w:rPr>
      <w:rFonts w:asciiTheme="majorHAnsi" w:eastAsiaTheme="majorEastAsia" w:hAnsiTheme="majorHAnsi" w:cstheme="majorBidi"/>
      <w:color w:val="2F5496" w:themeColor="accent1" w:themeShade="BF"/>
      <w:sz w:val="26"/>
      <w:szCs w:val="26"/>
      <w:lang w:val="en-GB"/>
    </w:rPr>
  </w:style>
  <w:style w:type="paragraph" w:styleId="ListParagraph">
    <w:name w:val="List Paragraph"/>
    <w:basedOn w:val="Normal"/>
    <w:uiPriority w:val="34"/>
    <w:qFormat/>
    <w:rsid w:val="00E50563"/>
    <w:pPr>
      <w:ind w:left="720"/>
      <w:contextualSpacing/>
    </w:pPr>
  </w:style>
  <w:style w:type="table" w:styleId="TableGrid">
    <w:name w:val="Table Grid"/>
    <w:basedOn w:val="TableNormal"/>
    <w:uiPriority w:val="59"/>
    <w:rsid w:val="00E5056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0563"/>
    <w:rPr>
      <w:rFonts w:ascii="Times New Roman" w:eastAsia="MS Mincho" w:hAnsi="Times New Roman" w:cs="Times New Roman"/>
      <w:lang w:eastAsia="ja-JP"/>
    </w:rPr>
  </w:style>
  <w:style w:type="paragraph" w:styleId="TOCHeading">
    <w:name w:val="TOC Heading"/>
    <w:basedOn w:val="Heading1"/>
    <w:next w:val="Normal"/>
    <w:uiPriority w:val="39"/>
    <w:semiHidden/>
    <w:unhideWhenUsed/>
    <w:qFormat/>
    <w:rsid w:val="00E50563"/>
    <w:pPr>
      <w:keepLines/>
      <w:overflowPunct/>
      <w:autoSpaceDE/>
      <w:autoSpaceDN/>
      <w:adjustRightInd/>
      <w:spacing w:before="480" w:line="276" w:lineRule="auto"/>
      <w:ind w:left="0" w:firstLine="0"/>
      <w:outlineLvl w:val="9"/>
    </w:pPr>
    <w:rPr>
      <w:rFonts w:asciiTheme="majorHAnsi" w:eastAsiaTheme="majorEastAsia" w:hAnsiTheme="majorHAnsi" w:cstheme="majorBidi"/>
      <w:b/>
      <w:bCs/>
      <w:color w:val="2F5496" w:themeColor="accent1" w:themeShade="BF"/>
      <w:sz w:val="28"/>
      <w:szCs w:val="28"/>
      <w:lang w:val="en-US" w:eastAsia="ja-JP"/>
    </w:rPr>
  </w:style>
  <w:style w:type="paragraph" w:styleId="TOC1">
    <w:name w:val="toc 1"/>
    <w:basedOn w:val="Normal"/>
    <w:next w:val="Normal"/>
    <w:autoRedefine/>
    <w:uiPriority w:val="39"/>
    <w:unhideWhenUsed/>
    <w:rsid w:val="00E50563"/>
    <w:pPr>
      <w:spacing w:after="100"/>
    </w:pPr>
  </w:style>
  <w:style w:type="character" w:styleId="Hyperlink">
    <w:name w:val="Hyperlink"/>
    <w:basedOn w:val="DefaultParagraphFont"/>
    <w:uiPriority w:val="99"/>
    <w:unhideWhenUsed/>
    <w:rsid w:val="00E50563"/>
    <w:rPr>
      <w:color w:val="0563C1" w:themeColor="hyperlink"/>
      <w:u w:val="single"/>
    </w:rPr>
  </w:style>
  <w:style w:type="character" w:styleId="IntenseEmphasis">
    <w:name w:val="Intense Emphasis"/>
    <w:basedOn w:val="DefaultParagraphFont"/>
    <w:uiPriority w:val="21"/>
    <w:qFormat/>
    <w:rsid w:val="00E50563"/>
    <w:rPr>
      <w:b/>
      <w:bCs/>
      <w:i/>
      <w:iCs/>
      <w:color w:val="4472C4" w:themeColor="accent1"/>
    </w:rPr>
  </w:style>
  <w:style w:type="paragraph" w:styleId="TOC2">
    <w:name w:val="toc 2"/>
    <w:basedOn w:val="Normal"/>
    <w:next w:val="Normal"/>
    <w:autoRedefine/>
    <w:uiPriority w:val="39"/>
    <w:unhideWhenUsed/>
    <w:rsid w:val="00E50563"/>
    <w:pPr>
      <w:spacing w:after="100"/>
      <w:ind w:left="220"/>
    </w:pPr>
  </w:style>
  <w:style w:type="paragraph" w:styleId="BalloonText">
    <w:name w:val="Balloon Text"/>
    <w:basedOn w:val="Normal"/>
    <w:link w:val="BalloonTextChar"/>
    <w:uiPriority w:val="99"/>
    <w:semiHidden/>
    <w:unhideWhenUsed/>
    <w:rsid w:val="00E57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54F"/>
    <w:rPr>
      <w:rFonts w:ascii="Tahoma" w:hAnsi="Tahoma" w:cs="Tahoma"/>
      <w:sz w:val="16"/>
      <w:szCs w:val="16"/>
      <w:lang w:val="en-GB"/>
    </w:rPr>
  </w:style>
  <w:style w:type="paragraph" w:styleId="CommentText">
    <w:name w:val="annotation text"/>
    <w:basedOn w:val="Normal"/>
    <w:link w:val="CommentTextChar"/>
    <w:uiPriority w:val="99"/>
    <w:semiHidden/>
    <w:unhideWhenUsed/>
    <w:rsid w:val="00A14AE5"/>
    <w:pPr>
      <w:spacing w:line="240" w:lineRule="auto"/>
    </w:pPr>
    <w:rPr>
      <w:sz w:val="20"/>
      <w:szCs w:val="20"/>
    </w:rPr>
  </w:style>
  <w:style w:type="character" w:customStyle="1" w:styleId="CommentTextChar">
    <w:name w:val="Comment Text Char"/>
    <w:basedOn w:val="DefaultParagraphFont"/>
    <w:link w:val="CommentText"/>
    <w:uiPriority w:val="99"/>
    <w:semiHidden/>
    <w:rsid w:val="00A14AE5"/>
    <w:rPr>
      <w:sz w:val="20"/>
      <w:szCs w:val="20"/>
      <w:lang w:val="en-GB"/>
    </w:rPr>
  </w:style>
  <w:style w:type="paragraph" w:styleId="Revision">
    <w:name w:val="Revision"/>
    <w:hidden/>
    <w:uiPriority w:val="99"/>
    <w:semiHidden/>
    <w:rsid w:val="00765F32"/>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5121">
      <w:bodyDiv w:val="1"/>
      <w:marLeft w:val="0"/>
      <w:marRight w:val="0"/>
      <w:marTop w:val="0"/>
      <w:marBottom w:val="0"/>
      <w:divBdr>
        <w:top w:val="none" w:sz="0" w:space="0" w:color="auto"/>
        <w:left w:val="none" w:sz="0" w:space="0" w:color="auto"/>
        <w:bottom w:val="none" w:sz="0" w:space="0" w:color="auto"/>
        <w:right w:val="none" w:sz="0" w:space="0" w:color="auto"/>
      </w:divBdr>
    </w:div>
    <w:div w:id="1031304031">
      <w:bodyDiv w:val="1"/>
      <w:marLeft w:val="0"/>
      <w:marRight w:val="0"/>
      <w:marTop w:val="0"/>
      <w:marBottom w:val="0"/>
      <w:divBdr>
        <w:top w:val="none" w:sz="0" w:space="0" w:color="auto"/>
        <w:left w:val="none" w:sz="0" w:space="0" w:color="auto"/>
        <w:bottom w:val="none" w:sz="0" w:space="0" w:color="auto"/>
        <w:right w:val="none" w:sz="0" w:space="0" w:color="auto"/>
      </w:divBdr>
    </w:div>
    <w:div w:id="203314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elex.gr" TargetMode="External"/><Relationship Id="rId4" Type="http://schemas.openxmlformats.org/officeDocument/2006/relationships/settings" Target="settings.xml"/><Relationship Id="rId9" Type="http://schemas.openxmlformats.org/officeDocument/2006/relationships/hyperlink" Target="http://www.byt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4F637-DD1F-45DC-B8DB-C34B68B73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11</Pages>
  <Words>4498</Words>
  <Characters>24291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Dryllerakis &amp; Associates</Company>
  <LinksUpToDate>false</LinksUpToDate>
  <CharactersWithSpaces>28732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J. Dryllerakis</dc:creator>
  <cp:lastModifiedBy>Xristos Tsenes</cp:lastModifiedBy>
  <cp:revision>68</cp:revision>
  <cp:lastPrinted>2022-08-12T13:49:00Z</cp:lastPrinted>
  <dcterms:created xsi:type="dcterms:W3CDTF">2022-08-12T07:53:00Z</dcterms:created>
  <dcterms:modified xsi:type="dcterms:W3CDTF">2022-08-12T14:03:00Z</dcterms:modified>
</cp:coreProperties>
</file>