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F611D" w14:textId="2D724810" w:rsidR="00C36E65" w:rsidRPr="00CD1F85" w:rsidRDefault="005B336E" w:rsidP="00CD1F85">
      <w:pPr>
        <w:pStyle w:val="2"/>
        <w:jc w:val="right"/>
        <w:rPr>
          <w:rFonts w:ascii="72 Black" w:hAnsi="72 Black" w:cs="72 Black"/>
          <w:color w:val="000000" w:themeColor="text1"/>
          <w:sz w:val="20"/>
          <w:szCs w:val="20"/>
        </w:rPr>
      </w:pPr>
      <w:r>
        <w:rPr>
          <w:rFonts w:ascii="72 Black" w:hAnsi="72 Black" w:cs="72 Black"/>
          <w:color w:val="000000" w:themeColor="text1"/>
          <w:sz w:val="20"/>
          <w:szCs w:val="20"/>
        </w:rPr>
        <w:t xml:space="preserve">Τετάρτη, </w:t>
      </w:r>
      <w:r w:rsidR="00CD1F85" w:rsidRPr="00CD1F85">
        <w:rPr>
          <w:rFonts w:ascii="72 Black" w:hAnsi="72 Black" w:cs="72 Black"/>
          <w:color w:val="000000" w:themeColor="text1"/>
          <w:sz w:val="20"/>
          <w:szCs w:val="20"/>
        </w:rPr>
        <w:t>1</w:t>
      </w:r>
      <w:r w:rsidR="00CD1F85">
        <w:rPr>
          <w:rFonts w:ascii="72 Black" w:hAnsi="72 Black" w:cs="72 Black"/>
          <w:color w:val="000000" w:themeColor="text1"/>
          <w:sz w:val="20"/>
          <w:szCs w:val="20"/>
        </w:rPr>
        <w:t>7</w:t>
      </w:r>
      <w:r w:rsidR="00CD1F85" w:rsidRPr="00CD1F85">
        <w:rPr>
          <w:rFonts w:ascii="72 Black" w:hAnsi="72 Black" w:cs="72 Black"/>
          <w:color w:val="000000" w:themeColor="text1"/>
          <w:sz w:val="20"/>
          <w:szCs w:val="20"/>
        </w:rPr>
        <w:t xml:space="preserve"> Νοεμβρίου 2021</w:t>
      </w:r>
    </w:p>
    <w:p w14:paraId="5F44BCBA" w14:textId="28409DF9" w:rsidR="00CD1F85" w:rsidRDefault="00CD1F85" w:rsidP="00C36E65">
      <w:pPr>
        <w:pStyle w:val="2"/>
        <w:jc w:val="center"/>
        <w:rPr>
          <w:rFonts w:ascii="72 Black" w:hAnsi="72 Black" w:cs="72 Black"/>
          <w:color w:val="000099"/>
          <w:sz w:val="28"/>
          <w:szCs w:val="28"/>
        </w:rPr>
      </w:pPr>
    </w:p>
    <w:p w14:paraId="51F92FD9" w14:textId="77777777" w:rsidR="00756DF8" w:rsidRPr="00756DF8" w:rsidRDefault="00756DF8" w:rsidP="00756DF8"/>
    <w:p w14:paraId="1B557933" w14:textId="176D82EF" w:rsidR="00C36E65" w:rsidRDefault="00C36E65" w:rsidP="00C36E65">
      <w:pPr>
        <w:pStyle w:val="2"/>
        <w:jc w:val="center"/>
        <w:rPr>
          <w:rFonts w:ascii="72 Black" w:hAnsi="72 Black" w:cs="72 Black"/>
          <w:color w:val="000099"/>
          <w:sz w:val="28"/>
          <w:szCs w:val="28"/>
        </w:rPr>
      </w:pPr>
      <w:r w:rsidRPr="00C36E65">
        <w:rPr>
          <w:rFonts w:ascii="72 Black" w:hAnsi="72 Black" w:cs="72 Black"/>
          <w:color w:val="000099"/>
          <w:sz w:val="28"/>
          <w:szCs w:val="28"/>
        </w:rPr>
        <w:t>Δελτίο Τύπου</w:t>
      </w:r>
    </w:p>
    <w:p w14:paraId="6A447DB1" w14:textId="77777777" w:rsidR="00C36E65" w:rsidRPr="00C36E65" w:rsidRDefault="00C36E65" w:rsidP="00C36E65"/>
    <w:p w14:paraId="6C92B187" w14:textId="0E55E483" w:rsidR="00F87003" w:rsidRPr="00C36E65" w:rsidRDefault="00F87003" w:rsidP="00652CF2">
      <w:pPr>
        <w:pStyle w:val="2"/>
        <w:jc w:val="center"/>
        <w:rPr>
          <w:rFonts w:ascii="72 Black" w:hAnsi="72 Black" w:cs="72 Black"/>
          <w:b/>
          <w:bCs/>
          <w:color w:val="auto"/>
          <w:sz w:val="24"/>
          <w:szCs w:val="24"/>
        </w:rPr>
      </w:pPr>
      <w:r w:rsidRPr="00C36E65">
        <w:rPr>
          <w:rFonts w:ascii="72 Black" w:hAnsi="72 Black" w:cs="72 Black"/>
          <w:b/>
          <w:bCs/>
          <w:color w:val="auto"/>
          <w:sz w:val="24"/>
          <w:szCs w:val="24"/>
        </w:rPr>
        <w:t>Συνοπτικά Οικονομικά Αποτελέσματα</w:t>
      </w:r>
      <w:r w:rsidR="00094087">
        <w:rPr>
          <w:rFonts w:ascii="72 Black" w:hAnsi="72 Black" w:cs="72 Black"/>
          <w:b/>
          <w:bCs/>
          <w:color w:val="auto"/>
          <w:sz w:val="24"/>
          <w:szCs w:val="24"/>
        </w:rPr>
        <w:t>:</w:t>
      </w:r>
      <w:r w:rsidRPr="00C36E65">
        <w:rPr>
          <w:rFonts w:ascii="72 Black" w:hAnsi="72 Black" w:cs="72 Black"/>
          <w:b/>
          <w:bCs/>
          <w:color w:val="auto"/>
          <w:sz w:val="24"/>
          <w:szCs w:val="24"/>
        </w:rPr>
        <w:t xml:space="preserve"> </w:t>
      </w:r>
      <w:r w:rsidR="00094087">
        <w:rPr>
          <w:rFonts w:ascii="72 Black" w:hAnsi="72 Black" w:cs="72 Black"/>
          <w:b/>
          <w:bCs/>
          <w:color w:val="auto"/>
          <w:sz w:val="24"/>
          <w:szCs w:val="24"/>
        </w:rPr>
        <w:t xml:space="preserve">Εννεάμηνο </w:t>
      </w:r>
      <w:r w:rsidRPr="00C36E65">
        <w:rPr>
          <w:rFonts w:ascii="72 Black" w:hAnsi="72 Black" w:cs="72 Black"/>
          <w:b/>
          <w:bCs/>
          <w:color w:val="auto"/>
          <w:sz w:val="24"/>
          <w:szCs w:val="24"/>
        </w:rPr>
        <w:t>2021</w:t>
      </w:r>
    </w:p>
    <w:p w14:paraId="52B174B0" w14:textId="600C32C1" w:rsidR="00F87003" w:rsidRDefault="00C36E65" w:rsidP="00F87003">
      <w:pPr>
        <w:pStyle w:val="2"/>
        <w:jc w:val="both"/>
        <w:rPr>
          <w:color w:val="auto"/>
        </w:rPr>
      </w:pPr>
      <w:r>
        <w:rPr>
          <w:color w:val="auto"/>
        </w:rPr>
        <w:t xml:space="preserve"> </w:t>
      </w:r>
    </w:p>
    <w:p w14:paraId="4F0410C5" w14:textId="77777777" w:rsidR="00756DF8" w:rsidRPr="00756DF8" w:rsidRDefault="00756DF8" w:rsidP="00756DF8"/>
    <w:p w14:paraId="100B1CB2" w14:textId="2760B196" w:rsidR="0068129F" w:rsidRDefault="008C6E64" w:rsidP="00C36E65">
      <w:pPr>
        <w:pStyle w:val="2"/>
        <w:jc w:val="both"/>
        <w:rPr>
          <w:color w:val="auto"/>
          <w:sz w:val="24"/>
          <w:szCs w:val="24"/>
        </w:rPr>
      </w:pPr>
      <w:r>
        <w:rPr>
          <w:color w:val="auto"/>
          <w:sz w:val="24"/>
          <w:szCs w:val="24"/>
        </w:rPr>
        <w:t>Σκοπός του παρόντος</w:t>
      </w:r>
      <w:r w:rsidR="00C73DAC">
        <w:rPr>
          <w:color w:val="auto"/>
          <w:sz w:val="24"/>
          <w:szCs w:val="24"/>
        </w:rPr>
        <w:t xml:space="preserve"> Δελτίο</w:t>
      </w:r>
      <w:r>
        <w:rPr>
          <w:color w:val="auto"/>
          <w:sz w:val="24"/>
          <w:szCs w:val="24"/>
        </w:rPr>
        <w:t>υ</w:t>
      </w:r>
      <w:r w:rsidR="00C73DAC">
        <w:rPr>
          <w:color w:val="auto"/>
          <w:sz w:val="24"/>
          <w:szCs w:val="24"/>
        </w:rPr>
        <w:t xml:space="preserve"> Τύπου</w:t>
      </w:r>
      <w:r w:rsidR="00C36E65" w:rsidRPr="00756DF8">
        <w:rPr>
          <w:color w:val="auto"/>
          <w:sz w:val="24"/>
          <w:szCs w:val="24"/>
        </w:rPr>
        <w:t xml:space="preserve"> είναι να παρουσιάσει τα οικονομικά αποτελέσματα της Ευρωπαϊκή Πίστη </w:t>
      </w:r>
      <w:r w:rsidR="0068129F" w:rsidRPr="00756DF8">
        <w:rPr>
          <w:color w:val="auto"/>
          <w:sz w:val="24"/>
          <w:szCs w:val="24"/>
        </w:rPr>
        <w:t>Α.Ε.Γ.Α.</w:t>
      </w:r>
      <w:r w:rsidR="0068129F">
        <w:rPr>
          <w:color w:val="auto"/>
          <w:sz w:val="24"/>
          <w:szCs w:val="24"/>
        </w:rPr>
        <w:t xml:space="preserve"> </w:t>
      </w:r>
      <w:r w:rsidR="00C36E65" w:rsidRPr="00756DF8">
        <w:rPr>
          <w:color w:val="auto"/>
          <w:sz w:val="24"/>
          <w:szCs w:val="24"/>
        </w:rPr>
        <w:t>για το εννεάμηνο της χρήσης 2021</w:t>
      </w:r>
      <w:r w:rsidR="008B3096">
        <w:rPr>
          <w:color w:val="auto"/>
          <w:sz w:val="24"/>
          <w:szCs w:val="24"/>
        </w:rPr>
        <w:t>.</w:t>
      </w:r>
    </w:p>
    <w:p w14:paraId="7CD66C76" w14:textId="155884BA" w:rsidR="00F87003" w:rsidRPr="00756DF8" w:rsidRDefault="00F87003" w:rsidP="00C36E65">
      <w:pPr>
        <w:pStyle w:val="2"/>
        <w:jc w:val="both"/>
        <w:rPr>
          <w:color w:val="auto"/>
          <w:sz w:val="24"/>
          <w:szCs w:val="24"/>
        </w:rPr>
      </w:pPr>
    </w:p>
    <w:p w14:paraId="65C22BD6" w14:textId="099EDFD8" w:rsidR="00F87003" w:rsidRPr="00756DF8" w:rsidRDefault="00F87003" w:rsidP="00F87003">
      <w:pPr>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Η </w:t>
      </w:r>
      <w:r w:rsidRPr="00756DF8">
        <w:rPr>
          <w:rFonts w:asciiTheme="majorHAnsi" w:eastAsiaTheme="majorEastAsia" w:hAnsiTheme="majorHAnsi" w:cstheme="majorBidi"/>
          <w:b/>
          <w:bCs/>
          <w:sz w:val="24"/>
          <w:szCs w:val="24"/>
        </w:rPr>
        <w:t>Ευρωπαϊκή Πίστη Α.Ε.Γ.Α.</w:t>
      </w:r>
      <w:r w:rsidRPr="00756DF8">
        <w:rPr>
          <w:rFonts w:asciiTheme="majorHAnsi" w:eastAsiaTheme="majorEastAsia" w:hAnsiTheme="majorHAnsi" w:cstheme="majorBidi"/>
          <w:sz w:val="24"/>
          <w:szCs w:val="24"/>
        </w:rPr>
        <w:t xml:space="preserve"> ανακοινώνει τις οικονομικές επιδόσεις που κατέγραψε το τρίτο τρίμηνο του 2021 και το ενεάμηνο του 2021, οι οποίες παρουσιάζουν υψηλή ανάπτυξη σε όλα τα βασικά μεγέθη. </w:t>
      </w:r>
    </w:p>
    <w:p w14:paraId="6518AFF8" w14:textId="77777777" w:rsidR="00F87003" w:rsidRPr="00756DF8" w:rsidRDefault="00F87003" w:rsidP="00F87003">
      <w:pPr>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Συγκεκριμένα, για το </w:t>
      </w:r>
      <w:r w:rsidRPr="00756DF8">
        <w:rPr>
          <w:rFonts w:asciiTheme="majorHAnsi" w:eastAsiaTheme="majorEastAsia" w:hAnsiTheme="majorHAnsi" w:cstheme="majorBidi"/>
          <w:b/>
          <w:bCs/>
          <w:sz w:val="24"/>
          <w:szCs w:val="24"/>
        </w:rPr>
        <w:t>9μηνο</w:t>
      </w:r>
      <w:r w:rsidRPr="00756DF8">
        <w:rPr>
          <w:rFonts w:asciiTheme="majorHAnsi" w:eastAsiaTheme="majorEastAsia" w:hAnsiTheme="majorHAnsi" w:cstheme="majorBidi"/>
          <w:sz w:val="24"/>
          <w:szCs w:val="24"/>
        </w:rPr>
        <w:t xml:space="preserve"> του 2021:</w:t>
      </w:r>
    </w:p>
    <w:p w14:paraId="7F23A743" w14:textId="7FE87F8D" w:rsidR="00F87003" w:rsidRPr="00756DF8" w:rsidRDefault="00F87003" w:rsidP="00E2186F">
      <w:pPr>
        <w:pStyle w:val="a6"/>
        <w:numPr>
          <w:ilvl w:val="0"/>
          <w:numId w:val="2"/>
        </w:numPr>
        <w:spacing w:line="259" w:lineRule="auto"/>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Τα </w:t>
      </w:r>
      <w:r w:rsidRPr="00756DF8">
        <w:rPr>
          <w:rFonts w:asciiTheme="majorHAnsi" w:eastAsiaTheme="majorEastAsia" w:hAnsiTheme="majorHAnsi" w:cstheme="majorBidi"/>
          <w:b/>
          <w:bCs/>
          <w:sz w:val="24"/>
          <w:szCs w:val="24"/>
        </w:rPr>
        <w:t>Εγγεγραμμένα Ασφάλιστρα και συναφή έσοδα</w:t>
      </w:r>
      <w:r w:rsidRPr="00756DF8">
        <w:rPr>
          <w:rFonts w:asciiTheme="majorHAnsi" w:eastAsiaTheme="majorEastAsia" w:hAnsiTheme="majorHAnsi" w:cstheme="majorBidi"/>
          <w:sz w:val="24"/>
          <w:szCs w:val="24"/>
        </w:rPr>
        <w:t xml:space="preserve"> της Εταιρίας παρουσίασαν αύξηση ύψους 4,0% και ανήλθαν στα 165,1 εκ. ευρώ</w:t>
      </w:r>
      <w:r w:rsidR="004D500D" w:rsidRPr="0068129F">
        <w:rPr>
          <w:rFonts w:asciiTheme="majorHAnsi" w:eastAsiaTheme="majorEastAsia" w:hAnsiTheme="majorHAnsi" w:cstheme="majorBidi"/>
          <w:sz w:val="24"/>
          <w:szCs w:val="24"/>
        </w:rPr>
        <w:t>,</w:t>
      </w:r>
      <w:r w:rsidRPr="00756DF8">
        <w:rPr>
          <w:rFonts w:asciiTheme="majorHAnsi" w:eastAsiaTheme="majorEastAsia" w:hAnsiTheme="majorHAnsi" w:cstheme="majorBidi"/>
          <w:sz w:val="24"/>
          <w:szCs w:val="24"/>
        </w:rPr>
        <w:t xml:space="preserve"> έναντι 158,8 εκ. ευρώ της αντίστοιχης περσινής περιόδου. Στην εν λόγω αύξηση της παραγωγής </w:t>
      </w:r>
      <w:r w:rsidR="004D500D">
        <w:rPr>
          <w:rFonts w:asciiTheme="majorHAnsi" w:eastAsiaTheme="majorEastAsia" w:hAnsiTheme="majorHAnsi" w:cstheme="majorBidi"/>
          <w:sz w:val="24"/>
          <w:szCs w:val="24"/>
        </w:rPr>
        <w:t xml:space="preserve">συνεισέφερε </w:t>
      </w:r>
      <w:r w:rsidRPr="00756DF8">
        <w:rPr>
          <w:rFonts w:asciiTheme="majorHAnsi" w:eastAsiaTheme="majorEastAsia" w:hAnsiTheme="majorHAnsi" w:cstheme="majorBidi"/>
          <w:sz w:val="24"/>
          <w:szCs w:val="24"/>
        </w:rPr>
        <w:t xml:space="preserve">ο </w:t>
      </w:r>
      <w:r w:rsidR="00E2186F" w:rsidRPr="00756DF8">
        <w:rPr>
          <w:rFonts w:asciiTheme="majorHAnsi" w:eastAsiaTheme="majorEastAsia" w:hAnsiTheme="majorHAnsi" w:cstheme="majorBidi"/>
          <w:sz w:val="24"/>
          <w:szCs w:val="24"/>
        </w:rPr>
        <w:t>Κ</w:t>
      </w:r>
      <w:r w:rsidRPr="00756DF8">
        <w:rPr>
          <w:rFonts w:asciiTheme="majorHAnsi" w:eastAsiaTheme="majorEastAsia" w:hAnsiTheme="majorHAnsi" w:cstheme="majorBidi"/>
          <w:sz w:val="24"/>
          <w:szCs w:val="24"/>
        </w:rPr>
        <w:t xml:space="preserve">λάδος Ζωής κατά 7,9%, ο </w:t>
      </w:r>
      <w:r w:rsidR="00E2186F" w:rsidRPr="00756DF8">
        <w:rPr>
          <w:rFonts w:asciiTheme="majorHAnsi" w:eastAsiaTheme="majorEastAsia" w:hAnsiTheme="majorHAnsi" w:cstheme="majorBidi"/>
          <w:sz w:val="24"/>
          <w:szCs w:val="24"/>
        </w:rPr>
        <w:t>Κ</w:t>
      </w:r>
      <w:r w:rsidRPr="00756DF8">
        <w:rPr>
          <w:rFonts w:asciiTheme="majorHAnsi" w:eastAsiaTheme="majorEastAsia" w:hAnsiTheme="majorHAnsi" w:cstheme="majorBidi"/>
          <w:sz w:val="24"/>
          <w:szCs w:val="24"/>
        </w:rPr>
        <w:t xml:space="preserve">λάδος Αυτοκινήτων κατά 0,6% και οι Λοιποί Γενικοί κλάδοι κατά 5,5%. </w:t>
      </w:r>
    </w:p>
    <w:p w14:paraId="15D4C44E" w14:textId="0BE098D8" w:rsidR="00F87003" w:rsidRPr="00756DF8" w:rsidRDefault="00F87003" w:rsidP="00E2186F">
      <w:pPr>
        <w:pStyle w:val="a6"/>
        <w:numPr>
          <w:ilvl w:val="0"/>
          <w:numId w:val="2"/>
        </w:numPr>
        <w:spacing w:line="259" w:lineRule="auto"/>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Τα </w:t>
      </w:r>
      <w:r w:rsidRPr="00756DF8">
        <w:rPr>
          <w:rFonts w:asciiTheme="majorHAnsi" w:eastAsiaTheme="majorEastAsia" w:hAnsiTheme="majorHAnsi" w:cstheme="majorBidi"/>
          <w:b/>
          <w:bCs/>
          <w:sz w:val="24"/>
          <w:szCs w:val="24"/>
        </w:rPr>
        <w:t>Έσοδα Επενδύσεων &amp; Λοιπά Έσοδα</w:t>
      </w:r>
      <w:r w:rsidRPr="00756DF8">
        <w:rPr>
          <w:rFonts w:asciiTheme="majorHAnsi" w:eastAsiaTheme="majorEastAsia" w:hAnsiTheme="majorHAnsi" w:cstheme="majorBidi"/>
          <w:sz w:val="24"/>
          <w:szCs w:val="24"/>
        </w:rPr>
        <w:t xml:space="preserve"> διαμορφώθηκαν στα 8,9 εκ. ευρώ, έναντι 2,8 εκ. ευρώ την αντίστοιχη περσινή περίοδο, σημειώνοντας αύξηση ύψους </w:t>
      </w:r>
      <w:r w:rsidRPr="00756DF8">
        <w:rPr>
          <w:rFonts w:asciiTheme="majorHAnsi" w:eastAsiaTheme="majorEastAsia" w:hAnsiTheme="majorHAnsi" w:cstheme="majorBidi"/>
          <w:b/>
          <w:bCs/>
          <w:sz w:val="24"/>
          <w:szCs w:val="24"/>
        </w:rPr>
        <w:t>218,2%</w:t>
      </w:r>
      <w:r w:rsidR="00E2186F" w:rsidRPr="00756DF8">
        <w:rPr>
          <w:rFonts w:asciiTheme="majorHAnsi" w:eastAsiaTheme="majorEastAsia" w:hAnsiTheme="majorHAnsi" w:cstheme="majorBidi"/>
          <w:sz w:val="24"/>
          <w:szCs w:val="24"/>
        </w:rPr>
        <w:t xml:space="preserve">, θετικά επηρεασμένα από την αύξηση των </w:t>
      </w:r>
      <w:r w:rsidR="00783632" w:rsidRPr="00756DF8">
        <w:rPr>
          <w:rFonts w:asciiTheme="majorHAnsi" w:eastAsiaTheme="majorEastAsia" w:hAnsiTheme="majorHAnsi" w:cstheme="majorBidi"/>
          <w:sz w:val="24"/>
          <w:szCs w:val="24"/>
        </w:rPr>
        <w:t>εσόδων</w:t>
      </w:r>
      <w:r w:rsidR="00E2186F" w:rsidRPr="00756DF8">
        <w:rPr>
          <w:rFonts w:asciiTheme="majorHAnsi" w:eastAsiaTheme="majorEastAsia" w:hAnsiTheme="majorHAnsi" w:cstheme="majorBidi"/>
          <w:sz w:val="24"/>
          <w:szCs w:val="24"/>
        </w:rPr>
        <w:t xml:space="preserve"> </w:t>
      </w:r>
      <w:r w:rsidR="00783632" w:rsidRPr="00756DF8">
        <w:rPr>
          <w:rFonts w:asciiTheme="majorHAnsi" w:eastAsiaTheme="majorEastAsia" w:hAnsiTheme="majorHAnsi" w:cstheme="majorBidi"/>
          <w:sz w:val="24"/>
          <w:szCs w:val="24"/>
        </w:rPr>
        <w:t xml:space="preserve">κατά 3,9 εκ. ευρώ </w:t>
      </w:r>
      <w:r w:rsidR="00E2186F" w:rsidRPr="00756DF8">
        <w:rPr>
          <w:rFonts w:asciiTheme="majorHAnsi" w:eastAsiaTheme="majorEastAsia" w:hAnsiTheme="majorHAnsi" w:cstheme="majorBidi"/>
          <w:sz w:val="24"/>
          <w:szCs w:val="24"/>
        </w:rPr>
        <w:t>από την πώληση χρηματοοικονομικών στοιχείων</w:t>
      </w:r>
      <w:r w:rsidR="00783632" w:rsidRPr="00756DF8">
        <w:rPr>
          <w:rFonts w:asciiTheme="majorHAnsi" w:eastAsiaTheme="majorEastAsia" w:hAnsiTheme="majorHAnsi" w:cstheme="majorBidi"/>
          <w:sz w:val="24"/>
          <w:szCs w:val="24"/>
        </w:rPr>
        <w:t>, σε σύγκριση με τ</w:t>
      </w:r>
      <w:r w:rsidR="008C6E64">
        <w:rPr>
          <w:rFonts w:asciiTheme="majorHAnsi" w:eastAsiaTheme="majorEastAsia" w:hAnsiTheme="majorHAnsi" w:cstheme="majorBidi"/>
          <w:sz w:val="24"/>
          <w:szCs w:val="24"/>
        </w:rPr>
        <w:t>ην</w:t>
      </w:r>
      <w:r w:rsidR="00783632" w:rsidRPr="00756DF8">
        <w:rPr>
          <w:rFonts w:asciiTheme="majorHAnsi" w:eastAsiaTheme="majorEastAsia" w:hAnsiTheme="majorHAnsi" w:cstheme="majorBidi"/>
          <w:sz w:val="24"/>
          <w:szCs w:val="24"/>
        </w:rPr>
        <w:t xml:space="preserve"> 30/09/2020. </w:t>
      </w:r>
    </w:p>
    <w:p w14:paraId="3DDD4978" w14:textId="2B5DD757" w:rsidR="00751250" w:rsidRPr="00756DF8" w:rsidRDefault="00751250" w:rsidP="00E2186F">
      <w:pPr>
        <w:pStyle w:val="a6"/>
        <w:numPr>
          <w:ilvl w:val="0"/>
          <w:numId w:val="2"/>
        </w:numPr>
        <w:spacing w:line="259" w:lineRule="auto"/>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Το </w:t>
      </w:r>
      <w:r w:rsidRPr="00756DF8">
        <w:rPr>
          <w:rFonts w:asciiTheme="majorHAnsi" w:eastAsiaTheme="majorEastAsia" w:hAnsiTheme="majorHAnsi" w:cstheme="majorBidi"/>
          <w:b/>
          <w:bCs/>
          <w:sz w:val="24"/>
          <w:szCs w:val="24"/>
        </w:rPr>
        <w:t xml:space="preserve">Κόστος Ασφαλιστικών Εργασιών </w:t>
      </w:r>
      <w:r w:rsidRPr="00756DF8">
        <w:rPr>
          <w:rFonts w:asciiTheme="majorHAnsi" w:eastAsiaTheme="majorEastAsia" w:hAnsiTheme="majorHAnsi" w:cstheme="majorBidi"/>
          <w:sz w:val="24"/>
          <w:szCs w:val="24"/>
        </w:rPr>
        <w:t>(Αποζημιώσεις ασφαλισμένων &amp; Μεταβολή ασφαλιστικ</w:t>
      </w:r>
      <w:r w:rsidR="008C6E64">
        <w:rPr>
          <w:rFonts w:asciiTheme="majorHAnsi" w:eastAsiaTheme="majorEastAsia" w:hAnsiTheme="majorHAnsi" w:cstheme="majorBidi"/>
          <w:sz w:val="24"/>
          <w:szCs w:val="24"/>
        </w:rPr>
        <w:t>ών</w:t>
      </w:r>
      <w:r w:rsidRPr="00756DF8">
        <w:rPr>
          <w:rFonts w:asciiTheme="majorHAnsi" w:eastAsiaTheme="majorEastAsia" w:hAnsiTheme="majorHAnsi" w:cstheme="majorBidi"/>
          <w:sz w:val="24"/>
          <w:szCs w:val="24"/>
        </w:rPr>
        <w:t xml:space="preserve"> προβλέψε</w:t>
      </w:r>
      <w:r w:rsidR="008C6E64">
        <w:rPr>
          <w:rFonts w:asciiTheme="majorHAnsi" w:eastAsiaTheme="majorEastAsia" w:hAnsiTheme="majorHAnsi" w:cstheme="majorBidi"/>
          <w:sz w:val="24"/>
          <w:szCs w:val="24"/>
        </w:rPr>
        <w:t>ων</w:t>
      </w:r>
      <w:r w:rsidRPr="00756DF8">
        <w:rPr>
          <w:rFonts w:asciiTheme="majorHAnsi" w:eastAsiaTheme="majorEastAsia" w:hAnsiTheme="majorHAnsi" w:cstheme="majorBidi"/>
          <w:sz w:val="24"/>
          <w:szCs w:val="24"/>
        </w:rPr>
        <w:t>), ανήλθε σ</w:t>
      </w:r>
      <w:r w:rsidR="005B336E" w:rsidRPr="00756DF8">
        <w:rPr>
          <w:rFonts w:asciiTheme="majorHAnsi" w:eastAsiaTheme="majorEastAsia" w:hAnsiTheme="majorHAnsi" w:cstheme="majorBidi"/>
          <w:sz w:val="24"/>
          <w:szCs w:val="24"/>
        </w:rPr>
        <w:t>τα</w:t>
      </w:r>
      <w:r w:rsidRPr="00756DF8">
        <w:rPr>
          <w:rFonts w:asciiTheme="majorHAnsi" w:eastAsiaTheme="majorEastAsia" w:hAnsiTheme="majorHAnsi" w:cstheme="majorBidi"/>
          <w:sz w:val="24"/>
          <w:szCs w:val="24"/>
        </w:rPr>
        <w:t xml:space="preserve"> 101,5 εκ. ευρώ, έναντι 86,8 εκ. ευρώ την αντίστοιχη περσινή περίοδο, σημειώνοντας αύξηση 17,0%.</w:t>
      </w:r>
    </w:p>
    <w:p w14:paraId="1E7BADB1" w14:textId="4A1AECE9" w:rsidR="00F87003" w:rsidRPr="00756DF8" w:rsidRDefault="00F87003" w:rsidP="00E2186F">
      <w:pPr>
        <w:pStyle w:val="a6"/>
        <w:numPr>
          <w:ilvl w:val="0"/>
          <w:numId w:val="2"/>
        </w:numPr>
        <w:spacing w:line="259" w:lineRule="auto"/>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Τα </w:t>
      </w:r>
      <w:r w:rsidRPr="00756DF8">
        <w:rPr>
          <w:rFonts w:asciiTheme="majorHAnsi" w:eastAsiaTheme="majorEastAsia" w:hAnsiTheme="majorHAnsi" w:cstheme="majorBidi"/>
          <w:b/>
          <w:bCs/>
          <w:sz w:val="24"/>
          <w:szCs w:val="24"/>
        </w:rPr>
        <w:t>Κέρδη προ Φόρων</w:t>
      </w:r>
      <w:r w:rsidRPr="00756DF8">
        <w:rPr>
          <w:rFonts w:asciiTheme="majorHAnsi" w:eastAsiaTheme="majorEastAsia" w:hAnsiTheme="majorHAnsi" w:cstheme="majorBidi"/>
          <w:sz w:val="24"/>
          <w:szCs w:val="24"/>
        </w:rPr>
        <w:t xml:space="preserve"> της Εταιρίας παρέμειναν σε υψηλά επίπεδα και διαμορφώθηκαν στα 14,0 εκ. ευρώ, βελτιώνοντας σημαντικά τα αποτελέσματα του Α’ Εξαμήνου κατά </w:t>
      </w:r>
      <w:r w:rsidR="002D47A1" w:rsidRPr="00756DF8">
        <w:rPr>
          <w:rFonts w:asciiTheme="majorHAnsi" w:eastAsiaTheme="majorEastAsia" w:hAnsiTheme="majorHAnsi" w:cstheme="majorBidi"/>
          <w:sz w:val="24"/>
          <w:szCs w:val="24"/>
        </w:rPr>
        <w:t>133,3</w:t>
      </w:r>
      <w:r w:rsidRPr="00756DF8">
        <w:rPr>
          <w:rFonts w:asciiTheme="majorHAnsi" w:eastAsiaTheme="majorEastAsia" w:hAnsiTheme="majorHAnsi" w:cstheme="majorBidi"/>
          <w:sz w:val="24"/>
          <w:szCs w:val="24"/>
        </w:rPr>
        <w:t>%.</w:t>
      </w:r>
    </w:p>
    <w:p w14:paraId="696E2FD0" w14:textId="77777777" w:rsidR="00493452" w:rsidRPr="00756DF8" w:rsidRDefault="00493452" w:rsidP="00493452">
      <w:pPr>
        <w:pStyle w:val="a6"/>
        <w:numPr>
          <w:ilvl w:val="0"/>
          <w:numId w:val="2"/>
        </w:numPr>
        <w:spacing w:line="259" w:lineRule="auto"/>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Ο </w:t>
      </w:r>
      <w:r w:rsidRPr="00756DF8">
        <w:rPr>
          <w:rFonts w:asciiTheme="majorHAnsi" w:eastAsiaTheme="majorEastAsia" w:hAnsiTheme="majorHAnsi" w:cstheme="majorBidi"/>
          <w:b/>
          <w:bCs/>
          <w:sz w:val="24"/>
          <w:szCs w:val="24"/>
        </w:rPr>
        <w:t>αριθμός προσωπικού</w:t>
      </w:r>
      <w:r w:rsidRPr="00756DF8">
        <w:rPr>
          <w:rFonts w:asciiTheme="majorHAnsi" w:eastAsiaTheme="majorEastAsia" w:hAnsiTheme="majorHAnsi" w:cstheme="majorBidi"/>
          <w:sz w:val="24"/>
          <w:szCs w:val="24"/>
        </w:rPr>
        <w:t xml:space="preserve"> της Εταιρίας ανήλθε σε 442 άτομα, έναντι 448 άτομα την 30/09/2020. </w:t>
      </w:r>
    </w:p>
    <w:p w14:paraId="13F908AA" w14:textId="5FAD823B" w:rsidR="00F87003" w:rsidRDefault="00F87003" w:rsidP="00D05996">
      <w:pPr>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lastRenderedPageBreak/>
        <w:t xml:space="preserve">Ειδικότερα, στον </w:t>
      </w:r>
      <w:r w:rsidR="005B336E" w:rsidRPr="00756DF8">
        <w:rPr>
          <w:rFonts w:asciiTheme="majorHAnsi" w:eastAsiaTheme="majorEastAsia" w:hAnsiTheme="majorHAnsi" w:cstheme="majorBidi"/>
          <w:sz w:val="24"/>
          <w:szCs w:val="24"/>
        </w:rPr>
        <w:t xml:space="preserve">ακόλουθο </w:t>
      </w:r>
      <w:r w:rsidRPr="00756DF8">
        <w:rPr>
          <w:rFonts w:asciiTheme="majorHAnsi" w:eastAsiaTheme="majorEastAsia" w:hAnsiTheme="majorHAnsi" w:cstheme="majorBidi"/>
          <w:sz w:val="24"/>
          <w:szCs w:val="24"/>
        </w:rPr>
        <w:t>πίνακα παρουσιάζονται τα βασικά οικονομικά μεγέθη της Εταιρίας για το εννεάμηνο του 2021, σε σχέση με την αντίστοιχη περίοδο του 2020:</w:t>
      </w:r>
    </w:p>
    <w:tbl>
      <w:tblPr>
        <w:tblW w:w="5497" w:type="pct"/>
        <w:tblInd w:w="-426" w:type="dxa"/>
        <w:tblCellMar>
          <w:left w:w="0" w:type="dxa"/>
          <w:right w:w="0" w:type="dxa"/>
        </w:tblCellMar>
        <w:tblLook w:val="0600" w:firstRow="0" w:lastRow="0" w:firstColumn="0" w:lastColumn="0" w:noHBand="1" w:noVBand="1"/>
      </w:tblPr>
      <w:tblGrid>
        <w:gridCol w:w="5218"/>
        <w:gridCol w:w="1451"/>
        <w:gridCol w:w="1594"/>
        <w:gridCol w:w="1447"/>
      </w:tblGrid>
      <w:tr w:rsidR="003F0C4E" w:rsidRPr="00752680" w14:paraId="0FFE95AD" w14:textId="77777777" w:rsidTr="0039276D">
        <w:trPr>
          <w:trHeight w:val="322"/>
        </w:trPr>
        <w:tc>
          <w:tcPr>
            <w:tcW w:w="2687" w:type="pct"/>
            <w:tcBorders>
              <w:top w:val="nil"/>
              <w:left w:val="nil"/>
              <w:bottom w:val="single" w:sz="12" w:space="0" w:color="4BAFE1"/>
              <w:right w:val="single" w:sz="4" w:space="0" w:color="FFFFFF" w:themeColor="background1"/>
            </w:tcBorders>
            <w:shd w:val="clear" w:color="auto" w:fill="2191C9"/>
            <w:tcMar>
              <w:top w:w="15" w:type="dxa"/>
              <w:left w:w="15" w:type="dxa"/>
              <w:bottom w:w="0" w:type="dxa"/>
              <w:right w:w="15" w:type="dxa"/>
            </w:tcMar>
            <w:vAlign w:val="center"/>
            <w:hideMark/>
          </w:tcPr>
          <w:p w14:paraId="1CEB5A7A" w14:textId="77777777" w:rsidR="00752680" w:rsidRPr="00752680" w:rsidRDefault="00752680" w:rsidP="00752680">
            <w:pPr>
              <w:spacing w:after="0" w:line="240" w:lineRule="auto"/>
              <w:ind w:left="274"/>
              <w:textAlignment w:val="center"/>
              <w:rPr>
                <w:rFonts w:ascii="72 Black" w:eastAsia="Times New Roman" w:hAnsi="72 Black" w:cs="72 Black"/>
                <w:sz w:val="19"/>
                <w:szCs w:val="19"/>
                <w:lang w:eastAsia="el-GR"/>
              </w:rPr>
            </w:pPr>
            <w:r w:rsidRPr="00752680">
              <w:rPr>
                <w:rFonts w:ascii="72 Black" w:eastAsia="Times New Roman" w:hAnsi="72 Black" w:cs="72 Black"/>
                <w:b/>
                <w:bCs/>
                <w:color w:val="FFFFFF"/>
                <w:sz w:val="19"/>
                <w:szCs w:val="19"/>
                <w:lang w:eastAsia="el-GR"/>
              </w:rPr>
              <w:t xml:space="preserve">(Ποσά σε € χιλ.) </w:t>
            </w:r>
          </w:p>
        </w:tc>
        <w:tc>
          <w:tcPr>
            <w:tcW w:w="747" w:type="pct"/>
            <w:tcBorders>
              <w:top w:val="nil"/>
              <w:left w:val="single" w:sz="4" w:space="0" w:color="FFFFFF" w:themeColor="background1"/>
              <w:bottom w:val="single" w:sz="12" w:space="0" w:color="4BAFE1"/>
              <w:right w:val="single" w:sz="8" w:space="0" w:color="FFFFFF"/>
            </w:tcBorders>
            <w:shd w:val="clear" w:color="auto" w:fill="2191C9"/>
            <w:tcMar>
              <w:top w:w="15" w:type="dxa"/>
              <w:left w:w="15" w:type="dxa"/>
              <w:bottom w:w="0" w:type="dxa"/>
              <w:right w:w="15" w:type="dxa"/>
            </w:tcMar>
            <w:vAlign w:val="center"/>
            <w:hideMark/>
          </w:tcPr>
          <w:p w14:paraId="0BFAB598" w14:textId="77777777" w:rsidR="00752680" w:rsidRPr="00752680" w:rsidRDefault="00752680" w:rsidP="003F0C4E">
            <w:pPr>
              <w:spacing w:after="0" w:line="240" w:lineRule="auto"/>
              <w:jc w:val="center"/>
              <w:textAlignment w:val="center"/>
              <w:rPr>
                <w:rFonts w:ascii="72 Black" w:eastAsia="Times New Roman" w:hAnsi="72 Black" w:cs="72 Black"/>
                <w:sz w:val="19"/>
                <w:szCs w:val="19"/>
                <w:lang w:eastAsia="el-GR"/>
              </w:rPr>
            </w:pPr>
            <w:r w:rsidRPr="00752680">
              <w:rPr>
                <w:rFonts w:ascii="72 Black" w:eastAsia="Times New Roman" w:hAnsi="72 Black" w:cs="72 Black"/>
                <w:b/>
                <w:bCs/>
                <w:color w:val="FFFFFF"/>
                <w:sz w:val="19"/>
                <w:szCs w:val="19"/>
                <w:lang w:eastAsia="el-GR"/>
              </w:rPr>
              <w:t>9Μ 2021</w:t>
            </w:r>
          </w:p>
        </w:tc>
        <w:tc>
          <w:tcPr>
            <w:tcW w:w="821" w:type="pct"/>
            <w:tcBorders>
              <w:top w:val="nil"/>
              <w:left w:val="single" w:sz="8" w:space="0" w:color="FFFFFF"/>
              <w:bottom w:val="single" w:sz="12" w:space="0" w:color="4BAFE1"/>
              <w:right w:val="single" w:sz="8" w:space="0" w:color="FFFFFF"/>
            </w:tcBorders>
            <w:shd w:val="clear" w:color="auto" w:fill="2191C9"/>
            <w:tcMar>
              <w:top w:w="15" w:type="dxa"/>
              <w:left w:w="15" w:type="dxa"/>
              <w:bottom w:w="0" w:type="dxa"/>
              <w:right w:w="15" w:type="dxa"/>
            </w:tcMar>
            <w:vAlign w:val="center"/>
            <w:hideMark/>
          </w:tcPr>
          <w:p w14:paraId="2C152F55" w14:textId="77777777" w:rsidR="00752680" w:rsidRPr="00752680" w:rsidRDefault="00752680" w:rsidP="003F0C4E">
            <w:pPr>
              <w:spacing w:after="0" w:line="240" w:lineRule="auto"/>
              <w:jc w:val="center"/>
              <w:textAlignment w:val="center"/>
              <w:rPr>
                <w:rFonts w:ascii="72 Black" w:eastAsia="Times New Roman" w:hAnsi="72 Black" w:cs="72 Black"/>
                <w:sz w:val="19"/>
                <w:szCs w:val="19"/>
                <w:lang w:eastAsia="el-GR"/>
              </w:rPr>
            </w:pPr>
            <w:r w:rsidRPr="00752680">
              <w:rPr>
                <w:rFonts w:ascii="72 Black" w:eastAsia="Times New Roman" w:hAnsi="72 Black" w:cs="72 Black"/>
                <w:b/>
                <w:bCs/>
                <w:color w:val="FFFFFF"/>
                <w:sz w:val="19"/>
                <w:szCs w:val="19"/>
                <w:lang w:eastAsia="el-GR"/>
              </w:rPr>
              <w:t>9Μ 2020</w:t>
            </w:r>
          </w:p>
        </w:tc>
        <w:tc>
          <w:tcPr>
            <w:tcW w:w="745" w:type="pct"/>
            <w:tcBorders>
              <w:top w:val="nil"/>
              <w:left w:val="single" w:sz="8" w:space="0" w:color="FFFFFF"/>
              <w:bottom w:val="single" w:sz="12" w:space="0" w:color="4BAFE1"/>
              <w:right w:val="nil"/>
            </w:tcBorders>
            <w:shd w:val="clear" w:color="auto" w:fill="2191C9"/>
            <w:tcMar>
              <w:top w:w="15" w:type="dxa"/>
              <w:left w:w="15" w:type="dxa"/>
              <w:bottom w:w="0" w:type="dxa"/>
              <w:right w:w="15" w:type="dxa"/>
            </w:tcMar>
            <w:vAlign w:val="center"/>
            <w:hideMark/>
          </w:tcPr>
          <w:p w14:paraId="43C5A2AD" w14:textId="77777777" w:rsidR="00752680" w:rsidRPr="00752680" w:rsidRDefault="00752680" w:rsidP="003F0C4E">
            <w:pPr>
              <w:spacing w:after="0" w:line="240" w:lineRule="auto"/>
              <w:jc w:val="center"/>
              <w:textAlignment w:val="center"/>
              <w:rPr>
                <w:rFonts w:ascii="72 Black" w:eastAsia="Times New Roman" w:hAnsi="72 Black" w:cs="72 Black"/>
                <w:sz w:val="19"/>
                <w:szCs w:val="19"/>
                <w:lang w:eastAsia="el-GR"/>
              </w:rPr>
            </w:pPr>
            <w:r w:rsidRPr="00752680">
              <w:rPr>
                <w:rFonts w:ascii="72 Black" w:eastAsia="Times New Roman" w:hAnsi="72 Black" w:cs="72 Black"/>
                <w:b/>
                <w:bCs/>
                <w:color w:val="FFFFFF"/>
                <w:sz w:val="19"/>
                <w:szCs w:val="19"/>
                <w:lang w:eastAsia="el-GR"/>
              </w:rPr>
              <w:t>Μεταβολή (%)</w:t>
            </w:r>
          </w:p>
        </w:tc>
      </w:tr>
      <w:tr w:rsidR="003F0C4E" w:rsidRPr="00752680" w14:paraId="7EFF8CB1" w14:textId="77777777" w:rsidTr="003F0C4E">
        <w:trPr>
          <w:trHeight w:val="103"/>
        </w:trPr>
        <w:tc>
          <w:tcPr>
            <w:tcW w:w="2687" w:type="pct"/>
            <w:tcBorders>
              <w:top w:val="single" w:sz="12" w:space="0" w:color="4BAFE1"/>
              <w:left w:val="nil"/>
              <w:bottom w:val="single" w:sz="8" w:space="0" w:color="FFFFFF"/>
              <w:right w:val="nil"/>
            </w:tcBorders>
            <w:shd w:val="clear" w:color="auto" w:fill="auto"/>
            <w:tcMar>
              <w:top w:w="15" w:type="dxa"/>
              <w:left w:w="15" w:type="dxa"/>
              <w:bottom w:w="0" w:type="dxa"/>
              <w:right w:w="15" w:type="dxa"/>
            </w:tcMar>
            <w:vAlign w:val="center"/>
            <w:hideMark/>
          </w:tcPr>
          <w:p w14:paraId="34C0C49F" w14:textId="77777777" w:rsidR="00752680" w:rsidRPr="00752680" w:rsidRDefault="00752680" w:rsidP="00752680">
            <w:pPr>
              <w:spacing w:before="20" w:after="40" w:line="360" w:lineRule="auto"/>
              <w:ind w:left="230"/>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color w:val="000000"/>
                <w:sz w:val="20"/>
                <w:szCs w:val="20"/>
                <w:lang w:eastAsia="el-GR"/>
              </w:rPr>
              <w:t>Εγγεγραμμένα (μικτά) ασφάλιστρα και συναφή έσοδα</w:t>
            </w:r>
          </w:p>
        </w:tc>
        <w:tc>
          <w:tcPr>
            <w:tcW w:w="747" w:type="pct"/>
            <w:tcBorders>
              <w:top w:val="single" w:sz="12" w:space="0" w:color="4BAFE1"/>
              <w:left w:val="nil"/>
              <w:bottom w:val="single" w:sz="8" w:space="0" w:color="FFFFFF"/>
              <w:right w:val="nil"/>
            </w:tcBorders>
            <w:shd w:val="clear" w:color="auto" w:fill="F2F2F2"/>
            <w:tcMar>
              <w:top w:w="15" w:type="dxa"/>
              <w:left w:w="15" w:type="dxa"/>
              <w:bottom w:w="0" w:type="dxa"/>
              <w:right w:w="15" w:type="dxa"/>
            </w:tcMar>
            <w:vAlign w:val="center"/>
            <w:hideMark/>
          </w:tcPr>
          <w:p w14:paraId="6243D922" w14:textId="77777777" w:rsidR="00752680" w:rsidRPr="00752680" w:rsidRDefault="00752680" w:rsidP="003F0C4E">
            <w:pPr>
              <w:spacing w:before="20" w:after="40" w:line="360" w:lineRule="auto"/>
              <w:jc w:val="center"/>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b/>
                <w:bCs/>
                <w:color w:val="262626"/>
                <w:sz w:val="20"/>
                <w:szCs w:val="20"/>
                <w:lang w:eastAsia="el-GR"/>
              </w:rPr>
              <w:t>165</w:t>
            </w:r>
            <w:r w:rsidRPr="00752680">
              <w:rPr>
                <w:rFonts w:asciiTheme="majorHAnsi" w:eastAsia="Times New Roman" w:hAnsiTheme="majorHAnsi" w:cstheme="majorHAnsi"/>
                <w:b/>
                <w:bCs/>
                <w:color w:val="262626"/>
                <w:sz w:val="20"/>
                <w:szCs w:val="20"/>
                <w:lang w:val="en-US" w:eastAsia="el-GR"/>
              </w:rPr>
              <w:t>.</w:t>
            </w:r>
            <w:r w:rsidRPr="00752680">
              <w:rPr>
                <w:rFonts w:asciiTheme="majorHAnsi" w:eastAsia="Times New Roman" w:hAnsiTheme="majorHAnsi" w:cstheme="majorHAnsi"/>
                <w:b/>
                <w:bCs/>
                <w:color w:val="262626"/>
                <w:sz w:val="20"/>
                <w:szCs w:val="20"/>
                <w:lang w:eastAsia="el-GR"/>
              </w:rPr>
              <w:t>066</w:t>
            </w:r>
          </w:p>
        </w:tc>
        <w:tc>
          <w:tcPr>
            <w:tcW w:w="821" w:type="pct"/>
            <w:tcBorders>
              <w:top w:val="single" w:sz="12" w:space="0" w:color="4BAFE1"/>
              <w:left w:val="nil"/>
              <w:bottom w:val="single" w:sz="8" w:space="0" w:color="FFFFFF"/>
              <w:right w:val="nil"/>
            </w:tcBorders>
            <w:shd w:val="clear" w:color="auto" w:fill="auto"/>
            <w:tcMar>
              <w:top w:w="15" w:type="dxa"/>
              <w:left w:w="15" w:type="dxa"/>
              <w:bottom w:w="0" w:type="dxa"/>
              <w:right w:w="15" w:type="dxa"/>
            </w:tcMar>
            <w:vAlign w:val="center"/>
            <w:hideMark/>
          </w:tcPr>
          <w:p w14:paraId="5FEDD13B" w14:textId="77777777" w:rsidR="00752680" w:rsidRPr="00752680" w:rsidRDefault="00752680" w:rsidP="003F0C4E">
            <w:pPr>
              <w:spacing w:before="20" w:after="40" w:line="360" w:lineRule="auto"/>
              <w:jc w:val="center"/>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b/>
                <w:bCs/>
                <w:color w:val="262626"/>
                <w:sz w:val="20"/>
                <w:szCs w:val="20"/>
                <w:lang w:eastAsia="el-GR"/>
              </w:rPr>
              <w:t>158</w:t>
            </w:r>
            <w:r w:rsidRPr="00752680">
              <w:rPr>
                <w:rFonts w:asciiTheme="majorHAnsi" w:eastAsia="Times New Roman" w:hAnsiTheme="majorHAnsi" w:cstheme="majorHAnsi"/>
                <w:b/>
                <w:bCs/>
                <w:color w:val="262626"/>
                <w:sz w:val="20"/>
                <w:szCs w:val="20"/>
                <w:lang w:val="en-US" w:eastAsia="el-GR"/>
              </w:rPr>
              <w:t>.</w:t>
            </w:r>
            <w:r w:rsidRPr="00752680">
              <w:rPr>
                <w:rFonts w:asciiTheme="majorHAnsi" w:eastAsia="Times New Roman" w:hAnsiTheme="majorHAnsi" w:cstheme="majorHAnsi"/>
                <w:b/>
                <w:bCs/>
                <w:color w:val="262626"/>
                <w:sz w:val="20"/>
                <w:szCs w:val="20"/>
                <w:lang w:eastAsia="el-GR"/>
              </w:rPr>
              <w:t>75</w:t>
            </w:r>
            <w:r w:rsidRPr="00752680">
              <w:rPr>
                <w:rFonts w:asciiTheme="majorHAnsi" w:eastAsia="Times New Roman" w:hAnsiTheme="majorHAnsi" w:cstheme="majorHAnsi"/>
                <w:b/>
                <w:bCs/>
                <w:color w:val="262626"/>
                <w:sz w:val="20"/>
                <w:szCs w:val="20"/>
                <w:lang w:val="en-US" w:eastAsia="el-GR"/>
              </w:rPr>
              <w:t>3</w:t>
            </w:r>
          </w:p>
        </w:tc>
        <w:tc>
          <w:tcPr>
            <w:tcW w:w="745" w:type="pct"/>
            <w:tcBorders>
              <w:top w:val="single" w:sz="12" w:space="0" w:color="4BAFE1"/>
              <w:left w:val="nil"/>
              <w:bottom w:val="single" w:sz="8" w:space="0" w:color="FFFFFF"/>
              <w:right w:val="nil"/>
            </w:tcBorders>
            <w:shd w:val="clear" w:color="auto" w:fill="F2F2F2"/>
            <w:tcMar>
              <w:top w:w="15" w:type="dxa"/>
              <w:left w:w="15" w:type="dxa"/>
              <w:bottom w:w="0" w:type="dxa"/>
              <w:right w:w="15" w:type="dxa"/>
            </w:tcMar>
            <w:vAlign w:val="center"/>
            <w:hideMark/>
          </w:tcPr>
          <w:p w14:paraId="4180A325" w14:textId="77777777" w:rsidR="00752680" w:rsidRPr="0068129F" w:rsidRDefault="00752680" w:rsidP="003F0C4E">
            <w:pPr>
              <w:spacing w:before="20" w:after="40" w:line="360" w:lineRule="auto"/>
              <w:jc w:val="center"/>
              <w:textAlignment w:val="center"/>
              <w:rPr>
                <w:rFonts w:asciiTheme="majorHAnsi" w:eastAsia="Times New Roman" w:hAnsiTheme="majorHAnsi" w:cstheme="majorHAnsi"/>
                <w:color w:val="000000" w:themeColor="text1"/>
                <w:sz w:val="20"/>
                <w:szCs w:val="20"/>
                <w:lang w:eastAsia="el-GR"/>
              </w:rPr>
            </w:pPr>
            <w:r w:rsidRPr="0068129F">
              <w:rPr>
                <w:rFonts w:asciiTheme="majorHAnsi" w:eastAsia="Times New Roman" w:hAnsiTheme="majorHAnsi" w:cstheme="majorHAnsi"/>
                <w:b/>
                <w:bCs/>
                <w:color w:val="000000" w:themeColor="text1"/>
                <w:sz w:val="20"/>
                <w:szCs w:val="20"/>
                <w:lang w:eastAsia="el-GR"/>
              </w:rPr>
              <w:t>+ 4,0%</w:t>
            </w:r>
          </w:p>
        </w:tc>
      </w:tr>
      <w:tr w:rsidR="003F0C4E" w:rsidRPr="00752680" w14:paraId="5B36C787" w14:textId="77777777" w:rsidTr="003F0C4E">
        <w:trPr>
          <w:trHeight w:val="71"/>
        </w:trPr>
        <w:tc>
          <w:tcPr>
            <w:tcW w:w="2687" w:type="pct"/>
            <w:tcBorders>
              <w:top w:val="single" w:sz="8" w:space="0" w:color="FFFFFF"/>
              <w:left w:val="nil"/>
              <w:bottom w:val="single" w:sz="8" w:space="0" w:color="FFFFFF"/>
              <w:right w:val="nil"/>
            </w:tcBorders>
            <w:shd w:val="clear" w:color="auto" w:fill="auto"/>
            <w:tcMar>
              <w:top w:w="15" w:type="dxa"/>
              <w:left w:w="15" w:type="dxa"/>
              <w:bottom w:w="0" w:type="dxa"/>
              <w:right w:w="15" w:type="dxa"/>
            </w:tcMar>
            <w:vAlign w:val="center"/>
            <w:hideMark/>
          </w:tcPr>
          <w:p w14:paraId="2CC562BB" w14:textId="77777777" w:rsidR="00752680" w:rsidRPr="00752680" w:rsidRDefault="00752680" w:rsidP="00752680">
            <w:pPr>
              <w:spacing w:before="20" w:after="40" w:line="360" w:lineRule="auto"/>
              <w:ind w:left="230"/>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color w:val="000000"/>
                <w:sz w:val="20"/>
                <w:szCs w:val="20"/>
                <w:lang w:eastAsia="el-GR"/>
              </w:rPr>
              <w:t>Μεταβολή αποθέματος μη δεδουλευμένων ασφαλίστρων</w:t>
            </w:r>
          </w:p>
        </w:tc>
        <w:tc>
          <w:tcPr>
            <w:tcW w:w="747" w:type="pct"/>
            <w:tcBorders>
              <w:top w:val="single" w:sz="8" w:space="0" w:color="FFFFFF"/>
              <w:left w:val="nil"/>
              <w:bottom w:val="single" w:sz="8" w:space="0" w:color="FFFFFF"/>
              <w:right w:val="nil"/>
            </w:tcBorders>
            <w:shd w:val="clear" w:color="auto" w:fill="F2F2F2"/>
            <w:tcMar>
              <w:top w:w="15" w:type="dxa"/>
              <w:left w:w="15" w:type="dxa"/>
              <w:bottom w:w="0" w:type="dxa"/>
              <w:right w:w="15" w:type="dxa"/>
            </w:tcMar>
            <w:vAlign w:val="center"/>
            <w:hideMark/>
          </w:tcPr>
          <w:p w14:paraId="2B69604C" w14:textId="77777777" w:rsidR="00752680" w:rsidRPr="00752680" w:rsidRDefault="00752680" w:rsidP="003F0C4E">
            <w:pPr>
              <w:spacing w:before="20" w:after="40" w:line="360" w:lineRule="auto"/>
              <w:jc w:val="center"/>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b/>
                <w:bCs/>
                <w:color w:val="262626"/>
                <w:sz w:val="20"/>
                <w:szCs w:val="20"/>
                <w:lang w:eastAsia="el-GR"/>
              </w:rPr>
              <w:t>4.296</w:t>
            </w:r>
          </w:p>
        </w:tc>
        <w:tc>
          <w:tcPr>
            <w:tcW w:w="821" w:type="pct"/>
            <w:tcBorders>
              <w:top w:val="single" w:sz="8" w:space="0" w:color="FFFFFF"/>
              <w:left w:val="nil"/>
              <w:bottom w:val="single" w:sz="8" w:space="0" w:color="FFFFFF"/>
              <w:right w:val="nil"/>
            </w:tcBorders>
            <w:shd w:val="clear" w:color="auto" w:fill="auto"/>
            <w:tcMar>
              <w:top w:w="15" w:type="dxa"/>
              <w:left w:w="15" w:type="dxa"/>
              <w:bottom w:w="0" w:type="dxa"/>
              <w:right w:w="15" w:type="dxa"/>
            </w:tcMar>
            <w:vAlign w:val="center"/>
            <w:hideMark/>
          </w:tcPr>
          <w:p w14:paraId="04A01E94" w14:textId="77777777" w:rsidR="00752680" w:rsidRPr="00752680" w:rsidRDefault="00752680" w:rsidP="003F0C4E">
            <w:pPr>
              <w:spacing w:before="20" w:after="40" w:line="360" w:lineRule="auto"/>
              <w:jc w:val="center"/>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b/>
                <w:bCs/>
                <w:color w:val="262626"/>
                <w:sz w:val="20"/>
                <w:szCs w:val="20"/>
                <w:lang w:eastAsia="el-GR"/>
              </w:rPr>
              <w:t>5.309</w:t>
            </w:r>
          </w:p>
        </w:tc>
        <w:tc>
          <w:tcPr>
            <w:tcW w:w="745" w:type="pct"/>
            <w:tcBorders>
              <w:top w:val="single" w:sz="8" w:space="0" w:color="FFFFFF"/>
              <w:left w:val="nil"/>
              <w:bottom w:val="single" w:sz="8" w:space="0" w:color="FFFFFF"/>
              <w:right w:val="nil"/>
            </w:tcBorders>
            <w:shd w:val="clear" w:color="auto" w:fill="F2F2F2"/>
            <w:tcMar>
              <w:top w:w="15" w:type="dxa"/>
              <w:left w:w="15" w:type="dxa"/>
              <w:bottom w:w="0" w:type="dxa"/>
              <w:right w:w="15" w:type="dxa"/>
            </w:tcMar>
            <w:vAlign w:val="center"/>
            <w:hideMark/>
          </w:tcPr>
          <w:p w14:paraId="0DC1B483" w14:textId="77777777" w:rsidR="00752680" w:rsidRPr="0068129F" w:rsidRDefault="00752680" w:rsidP="003F0C4E">
            <w:pPr>
              <w:spacing w:before="20" w:after="40" w:line="360" w:lineRule="auto"/>
              <w:jc w:val="center"/>
              <w:textAlignment w:val="center"/>
              <w:rPr>
                <w:rFonts w:asciiTheme="majorHAnsi" w:eastAsia="Times New Roman" w:hAnsiTheme="majorHAnsi" w:cstheme="majorHAnsi"/>
                <w:color w:val="000000" w:themeColor="text1"/>
                <w:sz w:val="20"/>
                <w:szCs w:val="20"/>
                <w:lang w:eastAsia="el-GR"/>
              </w:rPr>
            </w:pPr>
            <w:r w:rsidRPr="0068129F">
              <w:rPr>
                <w:rFonts w:asciiTheme="majorHAnsi" w:eastAsia="Times New Roman" w:hAnsiTheme="majorHAnsi" w:cstheme="majorHAnsi"/>
                <w:b/>
                <w:bCs/>
                <w:color w:val="000000" w:themeColor="text1"/>
                <w:sz w:val="20"/>
                <w:szCs w:val="20"/>
                <w:lang w:val="en-US" w:eastAsia="el-GR"/>
              </w:rPr>
              <w:t>-</w:t>
            </w:r>
            <w:r w:rsidRPr="0068129F">
              <w:rPr>
                <w:rFonts w:asciiTheme="majorHAnsi" w:eastAsia="Times New Roman" w:hAnsiTheme="majorHAnsi" w:cstheme="majorHAnsi"/>
                <w:b/>
                <w:bCs/>
                <w:color w:val="000000" w:themeColor="text1"/>
                <w:sz w:val="20"/>
                <w:szCs w:val="20"/>
                <w:lang w:eastAsia="el-GR"/>
              </w:rPr>
              <w:t xml:space="preserve"> 19,1%</w:t>
            </w:r>
          </w:p>
        </w:tc>
      </w:tr>
      <w:tr w:rsidR="003F0C4E" w:rsidRPr="00752680" w14:paraId="2E9436B0" w14:textId="77777777" w:rsidTr="003F0C4E">
        <w:trPr>
          <w:trHeight w:val="71"/>
        </w:trPr>
        <w:tc>
          <w:tcPr>
            <w:tcW w:w="2687" w:type="pct"/>
            <w:tcBorders>
              <w:top w:val="single" w:sz="8" w:space="0" w:color="FFFFFF"/>
              <w:left w:val="nil"/>
              <w:bottom w:val="single" w:sz="8" w:space="0" w:color="FFFFFF"/>
              <w:right w:val="nil"/>
            </w:tcBorders>
            <w:shd w:val="clear" w:color="auto" w:fill="auto"/>
            <w:tcMar>
              <w:top w:w="15" w:type="dxa"/>
              <w:left w:w="15" w:type="dxa"/>
              <w:bottom w:w="0" w:type="dxa"/>
              <w:right w:w="15" w:type="dxa"/>
            </w:tcMar>
            <w:vAlign w:val="center"/>
            <w:hideMark/>
          </w:tcPr>
          <w:p w14:paraId="5F9159E3" w14:textId="77777777" w:rsidR="00752680" w:rsidRPr="00752680" w:rsidRDefault="00752680" w:rsidP="00752680">
            <w:pPr>
              <w:spacing w:before="20" w:after="40" w:line="360" w:lineRule="auto"/>
              <w:ind w:left="230"/>
              <w:textAlignment w:val="center"/>
              <w:rPr>
                <w:rFonts w:asciiTheme="majorHAnsi" w:eastAsia="Times New Roman" w:hAnsiTheme="majorHAnsi" w:cstheme="majorHAnsi"/>
                <w:sz w:val="20"/>
                <w:szCs w:val="20"/>
                <w:lang w:eastAsia="el-GR"/>
              </w:rPr>
            </w:pPr>
            <w:proofErr w:type="spellStart"/>
            <w:r w:rsidRPr="00752680">
              <w:rPr>
                <w:rFonts w:asciiTheme="majorHAnsi" w:eastAsia="Times New Roman" w:hAnsiTheme="majorHAnsi" w:cstheme="majorHAnsi"/>
                <w:color w:val="000000"/>
                <w:sz w:val="20"/>
                <w:szCs w:val="20"/>
                <w:lang w:eastAsia="el-GR"/>
              </w:rPr>
              <w:t>Αντασφάλιστρα</w:t>
            </w:r>
            <w:proofErr w:type="spellEnd"/>
          </w:p>
        </w:tc>
        <w:tc>
          <w:tcPr>
            <w:tcW w:w="747" w:type="pct"/>
            <w:tcBorders>
              <w:top w:val="single" w:sz="8" w:space="0" w:color="FFFFFF"/>
              <w:left w:val="nil"/>
              <w:bottom w:val="single" w:sz="8" w:space="0" w:color="FFFFFF"/>
              <w:right w:val="nil"/>
            </w:tcBorders>
            <w:shd w:val="clear" w:color="auto" w:fill="F2F2F2"/>
            <w:tcMar>
              <w:top w:w="15" w:type="dxa"/>
              <w:left w:w="15" w:type="dxa"/>
              <w:bottom w:w="0" w:type="dxa"/>
              <w:right w:w="15" w:type="dxa"/>
            </w:tcMar>
            <w:vAlign w:val="center"/>
            <w:hideMark/>
          </w:tcPr>
          <w:p w14:paraId="66323D1E" w14:textId="77777777" w:rsidR="00752680" w:rsidRPr="00752680" w:rsidRDefault="00752680" w:rsidP="003F0C4E">
            <w:pPr>
              <w:spacing w:before="20" w:after="40" w:line="360" w:lineRule="auto"/>
              <w:jc w:val="center"/>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b/>
                <w:bCs/>
                <w:color w:val="262626"/>
                <w:sz w:val="20"/>
                <w:szCs w:val="20"/>
                <w:lang w:val="en-US" w:eastAsia="el-GR"/>
              </w:rPr>
              <w:t>(</w:t>
            </w:r>
            <w:r w:rsidRPr="00752680">
              <w:rPr>
                <w:rFonts w:asciiTheme="majorHAnsi" w:eastAsia="Times New Roman" w:hAnsiTheme="majorHAnsi" w:cstheme="majorHAnsi"/>
                <w:b/>
                <w:bCs/>
                <w:color w:val="262626"/>
                <w:sz w:val="20"/>
                <w:szCs w:val="20"/>
                <w:lang w:eastAsia="el-GR"/>
              </w:rPr>
              <w:t>13.159</w:t>
            </w:r>
            <w:r w:rsidRPr="00752680">
              <w:rPr>
                <w:rFonts w:asciiTheme="majorHAnsi" w:eastAsia="Times New Roman" w:hAnsiTheme="majorHAnsi" w:cstheme="majorHAnsi"/>
                <w:b/>
                <w:bCs/>
                <w:color w:val="262626"/>
                <w:sz w:val="20"/>
                <w:szCs w:val="20"/>
                <w:lang w:val="en-US" w:eastAsia="el-GR"/>
              </w:rPr>
              <w:t>)</w:t>
            </w:r>
          </w:p>
        </w:tc>
        <w:tc>
          <w:tcPr>
            <w:tcW w:w="821" w:type="pct"/>
            <w:tcBorders>
              <w:top w:val="single" w:sz="8" w:space="0" w:color="FFFFFF"/>
              <w:left w:val="nil"/>
              <w:bottom w:val="single" w:sz="8" w:space="0" w:color="FFFFFF"/>
              <w:right w:val="nil"/>
            </w:tcBorders>
            <w:shd w:val="clear" w:color="auto" w:fill="auto"/>
            <w:tcMar>
              <w:top w:w="15" w:type="dxa"/>
              <w:left w:w="15" w:type="dxa"/>
              <w:bottom w:w="0" w:type="dxa"/>
              <w:right w:w="15" w:type="dxa"/>
            </w:tcMar>
            <w:vAlign w:val="center"/>
            <w:hideMark/>
          </w:tcPr>
          <w:p w14:paraId="305F9811" w14:textId="77777777" w:rsidR="00752680" w:rsidRPr="00752680" w:rsidRDefault="00752680" w:rsidP="003F0C4E">
            <w:pPr>
              <w:spacing w:before="20" w:after="40" w:line="360" w:lineRule="auto"/>
              <w:jc w:val="center"/>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b/>
                <w:bCs/>
                <w:color w:val="262626"/>
                <w:sz w:val="20"/>
                <w:szCs w:val="20"/>
                <w:lang w:val="en-US" w:eastAsia="el-GR"/>
              </w:rPr>
              <w:t>(</w:t>
            </w:r>
            <w:r w:rsidRPr="00752680">
              <w:rPr>
                <w:rFonts w:asciiTheme="majorHAnsi" w:eastAsia="Times New Roman" w:hAnsiTheme="majorHAnsi" w:cstheme="majorHAnsi"/>
                <w:b/>
                <w:bCs/>
                <w:color w:val="262626"/>
                <w:sz w:val="20"/>
                <w:szCs w:val="20"/>
                <w:lang w:eastAsia="el-GR"/>
              </w:rPr>
              <w:t>12.457</w:t>
            </w:r>
            <w:r w:rsidRPr="00752680">
              <w:rPr>
                <w:rFonts w:asciiTheme="majorHAnsi" w:eastAsia="Times New Roman" w:hAnsiTheme="majorHAnsi" w:cstheme="majorHAnsi"/>
                <w:b/>
                <w:bCs/>
                <w:color w:val="262626"/>
                <w:sz w:val="20"/>
                <w:szCs w:val="20"/>
                <w:lang w:val="en-US" w:eastAsia="el-GR"/>
              </w:rPr>
              <w:t>)</w:t>
            </w:r>
          </w:p>
        </w:tc>
        <w:tc>
          <w:tcPr>
            <w:tcW w:w="745" w:type="pct"/>
            <w:tcBorders>
              <w:top w:val="single" w:sz="8" w:space="0" w:color="FFFFFF"/>
              <w:left w:val="nil"/>
              <w:bottom w:val="single" w:sz="8" w:space="0" w:color="FFFFFF"/>
              <w:right w:val="nil"/>
            </w:tcBorders>
            <w:shd w:val="clear" w:color="auto" w:fill="F2F2F2"/>
            <w:tcMar>
              <w:top w:w="15" w:type="dxa"/>
              <w:left w:w="15" w:type="dxa"/>
              <w:bottom w:w="0" w:type="dxa"/>
              <w:right w:w="15" w:type="dxa"/>
            </w:tcMar>
            <w:vAlign w:val="center"/>
            <w:hideMark/>
          </w:tcPr>
          <w:p w14:paraId="5E599ACB" w14:textId="77777777" w:rsidR="00752680" w:rsidRPr="0068129F" w:rsidRDefault="00752680" w:rsidP="003F0C4E">
            <w:pPr>
              <w:spacing w:before="20" w:after="40" w:line="360" w:lineRule="auto"/>
              <w:jc w:val="center"/>
              <w:textAlignment w:val="center"/>
              <w:rPr>
                <w:rFonts w:asciiTheme="majorHAnsi" w:eastAsia="Times New Roman" w:hAnsiTheme="majorHAnsi" w:cstheme="majorHAnsi"/>
                <w:color w:val="000000" w:themeColor="text1"/>
                <w:sz w:val="20"/>
                <w:szCs w:val="20"/>
                <w:lang w:eastAsia="el-GR"/>
              </w:rPr>
            </w:pPr>
            <w:r w:rsidRPr="0068129F">
              <w:rPr>
                <w:rFonts w:asciiTheme="majorHAnsi" w:eastAsia="Times New Roman" w:hAnsiTheme="majorHAnsi" w:cstheme="majorHAnsi"/>
                <w:b/>
                <w:bCs/>
                <w:color w:val="000000" w:themeColor="text1"/>
                <w:sz w:val="20"/>
                <w:szCs w:val="20"/>
                <w:lang w:eastAsia="el-GR"/>
              </w:rPr>
              <w:t>+ 5,6%</w:t>
            </w:r>
          </w:p>
        </w:tc>
      </w:tr>
      <w:tr w:rsidR="003F0C4E" w:rsidRPr="00752680" w14:paraId="4E8E6FFE" w14:textId="77777777" w:rsidTr="003F0C4E">
        <w:trPr>
          <w:trHeight w:val="402"/>
        </w:trPr>
        <w:tc>
          <w:tcPr>
            <w:tcW w:w="2687" w:type="pct"/>
            <w:tcBorders>
              <w:top w:val="single" w:sz="8" w:space="0" w:color="FFFFFF"/>
              <w:left w:val="nil"/>
              <w:bottom w:val="nil"/>
              <w:right w:val="nil"/>
            </w:tcBorders>
            <w:shd w:val="clear" w:color="auto" w:fill="auto"/>
            <w:tcMar>
              <w:top w:w="15" w:type="dxa"/>
              <w:left w:w="15" w:type="dxa"/>
              <w:bottom w:w="0" w:type="dxa"/>
              <w:right w:w="15" w:type="dxa"/>
            </w:tcMar>
            <w:vAlign w:val="center"/>
            <w:hideMark/>
          </w:tcPr>
          <w:p w14:paraId="0702C8B8" w14:textId="77777777" w:rsidR="00752680" w:rsidRPr="00752680" w:rsidRDefault="00752680" w:rsidP="00752680">
            <w:pPr>
              <w:spacing w:before="20" w:after="40" w:line="360" w:lineRule="auto"/>
              <w:ind w:left="230"/>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color w:val="000000"/>
                <w:sz w:val="20"/>
                <w:szCs w:val="20"/>
                <w:lang w:eastAsia="el-GR"/>
              </w:rPr>
              <w:t>Έσοδα Επενδύσεων και Λοιπά Έσοδα</w:t>
            </w:r>
          </w:p>
        </w:tc>
        <w:tc>
          <w:tcPr>
            <w:tcW w:w="747" w:type="pct"/>
            <w:tcBorders>
              <w:top w:val="single" w:sz="8" w:space="0" w:color="FFFFFF"/>
              <w:left w:val="nil"/>
              <w:bottom w:val="single" w:sz="8" w:space="0" w:color="FFFFFF"/>
              <w:right w:val="nil"/>
            </w:tcBorders>
            <w:shd w:val="clear" w:color="auto" w:fill="F2F2F2"/>
            <w:tcMar>
              <w:top w:w="15" w:type="dxa"/>
              <w:left w:w="15" w:type="dxa"/>
              <w:bottom w:w="0" w:type="dxa"/>
              <w:right w:w="15" w:type="dxa"/>
            </w:tcMar>
            <w:vAlign w:val="center"/>
            <w:hideMark/>
          </w:tcPr>
          <w:p w14:paraId="10DAF8F6" w14:textId="77777777" w:rsidR="00752680" w:rsidRPr="00752680" w:rsidRDefault="00752680" w:rsidP="003F0C4E">
            <w:pPr>
              <w:spacing w:before="20" w:after="40" w:line="360" w:lineRule="auto"/>
              <w:jc w:val="center"/>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b/>
                <w:bCs/>
                <w:color w:val="262626"/>
                <w:sz w:val="20"/>
                <w:szCs w:val="20"/>
                <w:lang w:eastAsia="el-GR"/>
              </w:rPr>
              <w:t>8</w:t>
            </w:r>
            <w:r w:rsidRPr="00752680">
              <w:rPr>
                <w:rFonts w:asciiTheme="majorHAnsi" w:eastAsia="Times New Roman" w:hAnsiTheme="majorHAnsi" w:cstheme="majorHAnsi"/>
                <w:b/>
                <w:bCs/>
                <w:color w:val="262626"/>
                <w:sz w:val="20"/>
                <w:szCs w:val="20"/>
                <w:lang w:val="en-US" w:eastAsia="el-GR"/>
              </w:rPr>
              <w:t>.</w:t>
            </w:r>
            <w:r w:rsidRPr="00752680">
              <w:rPr>
                <w:rFonts w:asciiTheme="majorHAnsi" w:eastAsia="Times New Roman" w:hAnsiTheme="majorHAnsi" w:cstheme="majorHAnsi"/>
                <w:b/>
                <w:bCs/>
                <w:color w:val="262626"/>
                <w:sz w:val="20"/>
                <w:szCs w:val="20"/>
                <w:lang w:eastAsia="el-GR"/>
              </w:rPr>
              <w:t>935</w:t>
            </w:r>
          </w:p>
        </w:tc>
        <w:tc>
          <w:tcPr>
            <w:tcW w:w="821" w:type="pct"/>
            <w:tcBorders>
              <w:top w:val="single" w:sz="8" w:space="0" w:color="FFFFFF"/>
              <w:left w:val="nil"/>
              <w:bottom w:val="single" w:sz="8" w:space="0" w:color="FFFFFF"/>
              <w:right w:val="nil"/>
            </w:tcBorders>
            <w:shd w:val="clear" w:color="auto" w:fill="auto"/>
            <w:tcMar>
              <w:top w:w="15" w:type="dxa"/>
              <w:left w:w="15" w:type="dxa"/>
              <w:bottom w:w="0" w:type="dxa"/>
              <w:right w:w="15" w:type="dxa"/>
            </w:tcMar>
            <w:vAlign w:val="center"/>
            <w:hideMark/>
          </w:tcPr>
          <w:p w14:paraId="3B8DBF19" w14:textId="77777777" w:rsidR="00752680" w:rsidRPr="00752680" w:rsidRDefault="00752680" w:rsidP="003F0C4E">
            <w:pPr>
              <w:spacing w:before="20" w:after="40" w:line="360" w:lineRule="auto"/>
              <w:jc w:val="center"/>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b/>
                <w:bCs/>
                <w:color w:val="262626"/>
                <w:sz w:val="20"/>
                <w:szCs w:val="20"/>
                <w:lang w:val="en-US" w:eastAsia="el-GR"/>
              </w:rPr>
              <w:t>2.80</w:t>
            </w:r>
            <w:r w:rsidRPr="00752680">
              <w:rPr>
                <w:rFonts w:asciiTheme="majorHAnsi" w:eastAsia="Times New Roman" w:hAnsiTheme="majorHAnsi" w:cstheme="majorHAnsi"/>
                <w:b/>
                <w:bCs/>
                <w:color w:val="262626"/>
                <w:sz w:val="20"/>
                <w:szCs w:val="20"/>
                <w:lang w:eastAsia="el-GR"/>
              </w:rPr>
              <w:t>8</w:t>
            </w:r>
          </w:p>
        </w:tc>
        <w:tc>
          <w:tcPr>
            <w:tcW w:w="745" w:type="pct"/>
            <w:tcBorders>
              <w:top w:val="single" w:sz="8" w:space="0" w:color="FFFFFF"/>
              <w:left w:val="nil"/>
              <w:bottom w:val="single" w:sz="8" w:space="0" w:color="FFFFFF"/>
              <w:right w:val="nil"/>
            </w:tcBorders>
            <w:shd w:val="clear" w:color="auto" w:fill="F2F2F2"/>
            <w:tcMar>
              <w:top w:w="15" w:type="dxa"/>
              <w:left w:w="15" w:type="dxa"/>
              <w:bottom w:w="0" w:type="dxa"/>
              <w:right w:w="15" w:type="dxa"/>
            </w:tcMar>
            <w:vAlign w:val="center"/>
            <w:hideMark/>
          </w:tcPr>
          <w:p w14:paraId="47E8F1BB" w14:textId="77777777" w:rsidR="00752680" w:rsidRPr="0068129F" w:rsidRDefault="00752680" w:rsidP="003F0C4E">
            <w:pPr>
              <w:spacing w:before="20" w:after="40" w:line="360" w:lineRule="auto"/>
              <w:jc w:val="center"/>
              <w:textAlignment w:val="center"/>
              <w:rPr>
                <w:rFonts w:asciiTheme="majorHAnsi" w:eastAsia="Times New Roman" w:hAnsiTheme="majorHAnsi" w:cstheme="majorHAnsi"/>
                <w:color w:val="000000" w:themeColor="text1"/>
                <w:sz w:val="20"/>
                <w:szCs w:val="20"/>
                <w:lang w:eastAsia="el-GR"/>
              </w:rPr>
            </w:pPr>
            <w:r w:rsidRPr="0068129F">
              <w:rPr>
                <w:rFonts w:asciiTheme="majorHAnsi" w:eastAsia="Times New Roman" w:hAnsiTheme="majorHAnsi" w:cstheme="majorHAnsi"/>
                <w:b/>
                <w:bCs/>
                <w:color w:val="000000" w:themeColor="text1"/>
                <w:sz w:val="20"/>
                <w:szCs w:val="20"/>
                <w:lang w:eastAsia="el-GR"/>
              </w:rPr>
              <w:t>+ 218</w:t>
            </w:r>
            <w:r w:rsidRPr="0068129F">
              <w:rPr>
                <w:rFonts w:asciiTheme="majorHAnsi" w:eastAsia="Times New Roman" w:hAnsiTheme="majorHAnsi" w:cstheme="majorHAnsi"/>
                <w:b/>
                <w:bCs/>
                <w:color w:val="000000" w:themeColor="text1"/>
                <w:sz w:val="20"/>
                <w:szCs w:val="20"/>
                <w:lang w:val="en-US" w:eastAsia="el-GR"/>
              </w:rPr>
              <w:t>,</w:t>
            </w:r>
            <w:r w:rsidRPr="0068129F">
              <w:rPr>
                <w:rFonts w:asciiTheme="majorHAnsi" w:eastAsia="Times New Roman" w:hAnsiTheme="majorHAnsi" w:cstheme="majorHAnsi"/>
                <w:b/>
                <w:bCs/>
                <w:color w:val="000000" w:themeColor="text1"/>
                <w:sz w:val="20"/>
                <w:szCs w:val="20"/>
                <w:lang w:eastAsia="el-GR"/>
              </w:rPr>
              <w:t>2%</w:t>
            </w:r>
          </w:p>
        </w:tc>
      </w:tr>
      <w:tr w:rsidR="003F0C4E" w:rsidRPr="00752680" w14:paraId="0CD94D4A" w14:textId="77777777" w:rsidTr="003F0C4E">
        <w:trPr>
          <w:trHeight w:val="678"/>
        </w:trPr>
        <w:tc>
          <w:tcPr>
            <w:tcW w:w="2687" w:type="pct"/>
            <w:tcBorders>
              <w:top w:val="nil"/>
              <w:left w:val="nil"/>
              <w:bottom w:val="nil"/>
              <w:right w:val="nil"/>
            </w:tcBorders>
            <w:shd w:val="clear" w:color="auto" w:fill="auto"/>
            <w:tcMar>
              <w:top w:w="15" w:type="dxa"/>
              <w:left w:w="15" w:type="dxa"/>
              <w:bottom w:w="0" w:type="dxa"/>
              <w:right w:w="15" w:type="dxa"/>
            </w:tcMar>
            <w:vAlign w:val="center"/>
            <w:hideMark/>
          </w:tcPr>
          <w:p w14:paraId="496B540A" w14:textId="77777777" w:rsidR="00752680" w:rsidRPr="00752680" w:rsidRDefault="00752680" w:rsidP="00752680">
            <w:pPr>
              <w:spacing w:before="20" w:after="40" w:line="360" w:lineRule="auto"/>
              <w:ind w:left="230"/>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color w:val="000000"/>
                <w:sz w:val="20"/>
                <w:szCs w:val="20"/>
                <w:lang w:eastAsia="el-GR"/>
              </w:rPr>
              <w:t>Κόστος ασφαλιστικών εργασιών (Αποζημιώσεις ασφαλισμένων &amp; Μεταβολή από ασφαλιστικές προβλέψεις)</w:t>
            </w:r>
          </w:p>
        </w:tc>
        <w:tc>
          <w:tcPr>
            <w:tcW w:w="747" w:type="pct"/>
            <w:tcBorders>
              <w:top w:val="single" w:sz="8" w:space="0" w:color="FFFFFF"/>
              <w:left w:val="nil"/>
              <w:bottom w:val="single" w:sz="8" w:space="0" w:color="FFFFFF"/>
              <w:right w:val="nil"/>
            </w:tcBorders>
            <w:shd w:val="clear" w:color="auto" w:fill="F2F2F2"/>
            <w:tcMar>
              <w:top w:w="15" w:type="dxa"/>
              <w:left w:w="15" w:type="dxa"/>
              <w:bottom w:w="0" w:type="dxa"/>
              <w:right w:w="15" w:type="dxa"/>
            </w:tcMar>
            <w:vAlign w:val="center"/>
            <w:hideMark/>
          </w:tcPr>
          <w:p w14:paraId="3583EBA2" w14:textId="77777777" w:rsidR="00752680" w:rsidRPr="00752680" w:rsidRDefault="00752680" w:rsidP="003F0C4E">
            <w:pPr>
              <w:spacing w:before="20" w:after="40" w:line="360" w:lineRule="auto"/>
              <w:jc w:val="center"/>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b/>
                <w:bCs/>
                <w:color w:val="262626"/>
                <w:sz w:val="20"/>
                <w:szCs w:val="20"/>
                <w:lang w:val="en-US" w:eastAsia="el-GR"/>
              </w:rPr>
              <w:t>(</w:t>
            </w:r>
            <w:r w:rsidRPr="00752680">
              <w:rPr>
                <w:rFonts w:asciiTheme="majorHAnsi" w:eastAsia="Times New Roman" w:hAnsiTheme="majorHAnsi" w:cstheme="majorHAnsi"/>
                <w:b/>
                <w:bCs/>
                <w:color w:val="262626"/>
                <w:sz w:val="20"/>
                <w:szCs w:val="20"/>
                <w:lang w:eastAsia="el-GR"/>
              </w:rPr>
              <w:t>101.534</w:t>
            </w:r>
            <w:r w:rsidRPr="00752680">
              <w:rPr>
                <w:rFonts w:asciiTheme="majorHAnsi" w:eastAsia="Times New Roman" w:hAnsiTheme="majorHAnsi" w:cstheme="majorHAnsi"/>
                <w:b/>
                <w:bCs/>
                <w:color w:val="262626"/>
                <w:sz w:val="20"/>
                <w:szCs w:val="20"/>
                <w:lang w:val="en-US" w:eastAsia="el-GR"/>
              </w:rPr>
              <w:t>)</w:t>
            </w:r>
          </w:p>
        </w:tc>
        <w:tc>
          <w:tcPr>
            <w:tcW w:w="821" w:type="pct"/>
            <w:tcBorders>
              <w:top w:val="single" w:sz="8" w:space="0" w:color="FFFFFF"/>
              <w:left w:val="nil"/>
              <w:bottom w:val="single" w:sz="8" w:space="0" w:color="FFFFFF"/>
              <w:right w:val="nil"/>
            </w:tcBorders>
            <w:shd w:val="clear" w:color="auto" w:fill="auto"/>
            <w:tcMar>
              <w:top w:w="15" w:type="dxa"/>
              <w:left w:w="15" w:type="dxa"/>
              <w:bottom w:w="0" w:type="dxa"/>
              <w:right w:w="15" w:type="dxa"/>
            </w:tcMar>
            <w:vAlign w:val="center"/>
            <w:hideMark/>
          </w:tcPr>
          <w:p w14:paraId="20F38430" w14:textId="77777777" w:rsidR="00752680" w:rsidRPr="00752680" w:rsidRDefault="00752680" w:rsidP="003F0C4E">
            <w:pPr>
              <w:spacing w:before="20" w:after="40" w:line="360" w:lineRule="auto"/>
              <w:jc w:val="center"/>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b/>
                <w:bCs/>
                <w:color w:val="262626"/>
                <w:sz w:val="20"/>
                <w:szCs w:val="20"/>
                <w:lang w:val="en-US" w:eastAsia="el-GR"/>
              </w:rPr>
              <w:t>(</w:t>
            </w:r>
            <w:r w:rsidRPr="00752680">
              <w:rPr>
                <w:rFonts w:asciiTheme="majorHAnsi" w:eastAsia="Times New Roman" w:hAnsiTheme="majorHAnsi" w:cstheme="majorHAnsi"/>
                <w:b/>
                <w:bCs/>
                <w:color w:val="262626"/>
                <w:sz w:val="20"/>
                <w:szCs w:val="20"/>
                <w:lang w:eastAsia="el-GR"/>
              </w:rPr>
              <w:t>86.750</w:t>
            </w:r>
            <w:r w:rsidRPr="00752680">
              <w:rPr>
                <w:rFonts w:asciiTheme="majorHAnsi" w:eastAsia="Times New Roman" w:hAnsiTheme="majorHAnsi" w:cstheme="majorHAnsi"/>
                <w:b/>
                <w:bCs/>
                <w:color w:val="262626"/>
                <w:sz w:val="20"/>
                <w:szCs w:val="20"/>
                <w:lang w:val="en-US" w:eastAsia="el-GR"/>
              </w:rPr>
              <w:t>)</w:t>
            </w:r>
          </w:p>
        </w:tc>
        <w:tc>
          <w:tcPr>
            <w:tcW w:w="745" w:type="pct"/>
            <w:tcBorders>
              <w:top w:val="single" w:sz="8" w:space="0" w:color="FFFFFF"/>
              <w:left w:val="nil"/>
              <w:bottom w:val="single" w:sz="8" w:space="0" w:color="FFFFFF"/>
              <w:right w:val="nil"/>
            </w:tcBorders>
            <w:shd w:val="clear" w:color="auto" w:fill="F2F2F2"/>
            <w:tcMar>
              <w:top w:w="15" w:type="dxa"/>
              <w:left w:w="15" w:type="dxa"/>
              <w:bottom w:w="0" w:type="dxa"/>
              <w:right w:w="15" w:type="dxa"/>
            </w:tcMar>
            <w:vAlign w:val="center"/>
            <w:hideMark/>
          </w:tcPr>
          <w:p w14:paraId="3922F337" w14:textId="77777777" w:rsidR="00752680" w:rsidRPr="0068129F" w:rsidRDefault="00752680" w:rsidP="003F0C4E">
            <w:pPr>
              <w:spacing w:before="20" w:after="40" w:line="360" w:lineRule="auto"/>
              <w:jc w:val="center"/>
              <w:textAlignment w:val="center"/>
              <w:rPr>
                <w:rFonts w:asciiTheme="majorHAnsi" w:eastAsia="Times New Roman" w:hAnsiTheme="majorHAnsi" w:cstheme="majorHAnsi"/>
                <w:color w:val="000000" w:themeColor="text1"/>
                <w:sz w:val="20"/>
                <w:szCs w:val="20"/>
                <w:lang w:eastAsia="el-GR"/>
              </w:rPr>
            </w:pPr>
            <w:r w:rsidRPr="0068129F">
              <w:rPr>
                <w:rFonts w:asciiTheme="majorHAnsi" w:eastAsia="Times New Roman" w:hAnsiTheme="majorHAnsi" w:cstheme="majorHAnsi"/>
                <w:b/>
                <w:bCs/>
                <w:color w:val="000000" w:themeColor="text1"/>
                <w:sz w:val="20"/>
                <w:szCs w:val="20"/>
                <w:lang w:eastAsia="el-GR"/>
              </w:rPr>
              <w:t>+ 17,0%</w:t>
            </w:r>
          </w:p>
        </w:tc>
      </w:tr>
      <w:tr w:rsidR="003F0C4E" w:rsidRPr="00752680" w14:paraId="7B838D0D" w14:textId="77777777" w:rsidTr="003F0C4E">
        <w:trPr>
          <w:trHeight w:val="185"/>
        </w:trPr>
        <w:tc>
          <w:tcPr>
            <w:tcW w:w="2687" w:type="pct"/>
            <w:tcBorders>
              <w:top w:val="nil"/>
              <w:left w:val="nil"/>
              <w:bottom w:val="single" w:sz="8" w:space="0" w:color="FFFFFF"/>
              <w:right w:val="nil"/>
            </w:tcBorders>
            <w:shd w:val="clear" w:color="auto" w:fill="auto"/>
            <w:tcMar>
              <w:top w:w="15" w:type="dxa"/>
              <w:left w:w="15" w:type="dxa"/>
              <w:bottom w:w="0" w:type="dxa"/>
              <w:right w:w="15" w:type="dxa"/>
            </w:tcMar>
            <w:vAlign w:val="center"/>
            <w:hideMark/>
          </w:tcPr>
          <w:p w14:paraId="0776CE3A" w14:textId="77777777" w:rsidR="00752680" w:rsidRPr="00752680" w:rsidRDefault="00752680" w:rsidP="00752680">
            <w:pPr>
              <w:spacing w:before="20" w:after="40" w:line="360" w:lineRule="auto"/>
              <w:ind w:left="230"/>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color w:val="000000"/>
                <w:sz w:val="20"/>
                <w:szCs w:val="20"/>
                <w:lang w:eastAsia="el-GR"/>
              </w:rPr>
              <w:t>Δεδουλευμένες προμήθειες &amp; Λοιπά Έξοδα Παραγωγής</w:t>
            </w:r>
          </w:p>
        </w:tc>
        <w:tc>
          <w:tcPr>
            <w:tcW w:w="747" w:type="pct"/>
            <w:tcBorders>
              <w:top w:val="single" w:sz="8" w:space="0" w:color="FFFFFF"/>
              <w:left w:val="nil"/>
              <w:bottom w:val="single" w:sz="8" w:space="0" w:color="FFFFFF"/>
              <w:right w:val="nil"/>
            </w:tcBorders>
            <w:shd w:val="clear" w:color="auto" w:fill="F2F2F2"/>
            <w:tcMar>
              <w:top w:w="15" w:type="dxa"/>
              <w:left w:w="15" w:type="dxa"/>
              <w:bottom w:w="0" w:type="dxa"/>
              <w:right w:w="15" w:type="dxa"/>
            </w:tcMar>
            <w:vAlign w:val="center"/>
            <w:hideMark/>
          </w:tcPr>
          <w:p w14:paraId="73D23F57" w14:textId="77777777" w:rsidR="00752680" w:rsidRPr="00752680" w:rsidRDefault="00752680" w:rsidP="003F0C4E">
            <w:pPr>
              <w:spacing w:before="20" w:after="40" w:line="360" w:lineRule="auto"/>
              <w:jc w:val="center"/>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b/>
                <w:bCs/>
                <w:color w:val="262626"/>
                <w:sz w:val="20"/>
                <w:szCs w:val="20"/>
                <w:lang w:val="en-US" w:eastAsia="el-GR"/>
              </w:rPr>
              <w:t>(</w:t>
            </w:r>
            <w:r w:rsidRPr="00752680">
              <w:rPr>
                <w:rFonts w:asciiTheme="majorHAnsi" w:eastAsia="Times New Roman" w:hAnsiTheme="majorHAnsi" w:cstheme="majorHAnsi"/>
                <w:b/>
                <w:bCs/>
                <w:color w:val="262626"/>
                <w:sz w:val="20"/>
                <w:szCs w:val="20"/>
                <w:lang w:eastAsia="el-GR"/>
              </w:rPr>
              <w:t>28.980</w:t>
            </w:r>
            <w:r w:rsidRPr="00752680">
              <w:rPr>
                <w:rFonts w:asciiTheme="majorHAnsi" w:eastAsia="Times New Roman" w:hAnsiTheme="majorHAnsi" w:cstheme="majorHAnsi"/>
                <w:b/>
                <w:bCs/>
                <w:color w:val="262626"/>
                <w:sz w:val="20"/>
                <w:szCs w:val="20"/>
                <w:lang w:val="en-US" w:eastAsia="el-GR"/>
              </w:rPr>
              <w:t>)</w:t>
            </w:r>
          </w:p>
        </w:tc>
        <w:tc>
          <w:tcPr>
            <w:tcW w:w="821" w:type="pct"/>
            <w:tcBorders>
              <w:top w:val="single" w:sz="8" w:space="0" w:color="FFFFFF"/>
              <w:left w:val="nil"/>
              <w:bottom w:val="nil"/>
              <w:right w:val="nil"/>
            </w:tcBorders>
            <w:shd w:val="clear" w:color="auto" w:fill="auto"/>
            <w:tcMar>
              <w:top w:w="15" w:type="dxa"/>
              <w:left w:w="15" w:type="dxa"/>
              <w:bottom w:w="0" w:type="dxa"/>
              <w:right w:w="15" w:type="dxa"/>
            </w:tcMar>
            <w:vAlign w:val="center"/>
            <w:hideMark/>
          </w:tcPr>
          <w:p w14:paraId="63D4D641" w14:textId="77777777" w:rsidR="00752680" w:rsidRPr="00752680" w:rsidRDefault="00752680" w:rsidP="003F0C4E">
            <w:pPr>
              <w:spacing w:before="20" w:after="40" w:line="360" w:lineRule="auto"/>
              <w:jc w:val="center"/>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b/>
                <w:bCs/>
                <w:color w:val="262626"/>
                <w:sz w:val="20"/>
                <w:szCs w:val="20"/>
                <w:lang w:val="en-US" w:eastAsia="el-GR"/>
              </w:rPr>
              <w:t>(</w:t>
            </w:r>
            <w:r w:rsidRPr="00752680">
              <w:rPr>
                <w:rFonts w:asciiTheme="majorHAnsi" w:eastAsia="Times New Roman" w:hAnsiTheme="majorHAnsi" w:cstheme="majorHAnsi"/>
                <w:b/>
                <w:bCs/>
                <w:color w:val="262626"/>
                <w:sz w:val="20"/>
                <w:szCs w:val="20"/>
                <w:lang w:eastAsia="el-GR"/>
              </w:rPr>
              <w:t>28.372</w:t>
            </w:r>
            <w:r w:rsidRPr="00752680">
              <w:rPr>
                <w:rFonts w:asciiTheme="majorHAnsi" w:eastAsia="Times New Roman" w:hAnsiTheme="majorHAnsi" w:cstheme="majorHAnsi"/>
                <w:b/>
                <w:bCs/>
                <w:color w:val="262626"/>
                <w:sz w:val="20"/>
                <w:szCs w:val="20"/>
                <w:lang w:val="en-US" w:eastAsia="el-GR"/>
              </w:rPr>
              <w:t>)</w:t>
            </w:r>
          </w:p>
        </w:tc>
        <w:tc>
          <w:tcPr>
            <w:tcW w:w="745" w:type="pct"/>
            <w:tcBorders>
              <w:top w:val="single" w:sz="8" w:space="0" w:color="FFFFFF"/>
              <w:left w:val="nil"/>
              <w:bottom w:val="single" w:sz="8" w:space="0" w:color="FFFFFF"/>
              <w:right w:val="nil"/>
            </w:tcBorders>
            <w:shd w:val="clear" w:color="auto" w:fill="F2F2F2"/>
            <w:tcMar>
              <w:top w:w="15" w:type="dxa"/>
              <w:left w:w="15" w:type="dxa"/>
              <w:bottom w:w="0" w:type="dxa"/>
              <w:right w:w="15" w:type="dxa"/>
            </w:tcMar>
            <w:vAlign w:val="center"/>
            <w:hideMark/>
          </w:tcPr>
          <w:p w14:paraId="772C59F2" w14:textId="77777777" w:rsidR="00752680" w:rsidRPr="0068129F" w:rsidRDefault="00752680" w:rsidP="003F0C4E">
            <w:pPr>
              <w:spacing w:before="20" w:after="40" w:line="360" w:lineRule="auto"/>
              <w:jc w:val="center"/>
              <w:textAlignment w:val="center"/>
              <w:rPr>
                <w:rFonts w:asciiTheme="majorHAnsi" w:eastAsia="Times New Roman" w:hAnsiTheme="majorHAnsi" w:cstheme="majorHAnsi"/>
                <w:color w:val="000000" w:themeColor="text1"/>
                <w:sz w:val="20"/>
                <w:szCs w:val="20"/>
                <w:lang w:eastAsia="el-GR"/>
              </w:rPr>
            </w:pPr>
            <w:r w:rsidRPr="0068129F">
              <w:rPr>
                <w:rFonts w:asciiTheme="majorHAnsi" w:eastAsia="Times New Roman" w:hAnsiTheme="majorHAnsi" w:cstheme="majorHAnsi"/>
                <w:b/>
                <w:bCs/>
                <w:color w:val="000000" w:themeColor="text1"/>
                <w:sz w:val="20"/>
                <w:szCs w:val="20"/>
                <w:lang w:eastAsia="el-GR"/>
              </w:rPr>
              <w:t>+ 2,1%</w:t>
            </w:r>
          </w:p>
        </w:tc>
      </w:tr>
      <w:tr w:rsidR="003F0C4E" w:rsidRPr="00752680" w14:paraId="14FF54F2" w14:textId="77777777" w:rsidTr="003F0C4E">
        <w:trPr>
          <w:trHeight w:val="135"/>
        </w:trPr>
        <w:tc>
          <w:tcPr>
            <w:tcW w:w="2687" w:type="pct"/>
            <w:tcBorders>
              <w:top w:val="single" w:sz="8" w:space="0" w:color="FFFFFF"/>
              <w:left w:val="nil"/>
              <w:bottom w:val="single" w:sz="12" w:space="0" w:color="4BAFE1"/>
              <w:right w:val="nil"/>
            </w:tcBorders>
            <w:shd w:val="clear" w:color="auto" w:fill="auto"/>
            <w:tcMar>
              <w:top w:w="15" w:type="dxa"/>
              <w:left w:w="15" w:type="dxa"/>
              <w:bottom w:w="0" w:type="dxa"/>
              <w:right w:w="15" w:type="dxa"/>
            </w:tcMar>
            <w:vAlign w:val="center"/>
            <w:hideMark/>
          </w:tcPr>
          <w:p w14:paraId="00C71A8C" w14:textId="01381484" w:rsidR="00752680" w:rsidRPr="00752680" w:rsidRDefault="00752680" w:rsidP="00752680">
            <w:pPr>
              <w:spacing w:before="20" w:after="40" w:line="360" w:lineRule="auto"/>
              <w:ind w:left="230"/>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color w:val="000000"/>
                <w:sz w:val="20"/>
                <w:szCs w:val="20"/>
                <w:lang w:eastAsia="el-GR"/>
              </w:rPr>
              <w:t>Αμοιβές</w:t>
            </w:r>
            <w:r w:rsidR="008C6E64">
              <w:rPr>
                <w:rFonts w:asciiTheme="majorHAnsi" w:eastAsia="Times New Roman" w:hAnsiTheme="majorHAnsi" w:cstheme="majorHAnsi"/>
                <w:color w:val="000000"/>
                <w:sz w:val="20"/>
                <w:szCs w:val="20"/>
                <w:lang w:eastAsia="el-GR"/>
              </w:rPr>
              <w:t>,</w:t>
            </w:r>
            <w:r w:rsidRPr="00752680">
              <w:rPr>
                <w:rFonts w:asciiTheme="majorHAnsi" w:eastAsia="Times New Roman" w:hAnsiTheme="majorHAnsi" w:cstheme="majorHAnsi"/>
                <w:color w:val="000000"/>
                <w:sz w:val="20"/>
                <w:szCs w:val="20"/>
                <w:lang w:eastAsia="el-GR"/>
              </w:rPr>
              <w:t xml:space="preserve"> έξοδα προσωπικού &amp; Λοιπά Λειτουργικά Έξοδα</w:t>
            </w:r>
          </w:p>
        </w:tc>
        <w:tc>
          <w:tcPr>
            <w:tcW w:w="747" w:type="pct"/>
            <w:tcBorders>
              <w:top w:val="single" w:sz="8" w:space="0" w:color="FFFFFF"/>
              <w:left w:val="nil"/>
              <w:bottom w:val="single" w:sz="12" w:space="0" w:color="4BAFE1"/>
              <w:right w:val="nil"/>
            </w:tcBorders>
            <w:shd w:val="clear" w:color="auto" w:fill="F2F2F2"/>
            <w:tcMar>
              <w:top w:w="15" w:type="dxa"/>
              <w:left w:w="15" w:type="dxa"/>
              <w:bottom w:w="0" w:type="dxa"/>
              <w:right w:w="15" w:type="dxa"/>
            </w:tcMar>
            <w:vAlign w:val="center"/>
            <w:hideMark/>
          </w:tcPr>
          <w:p w14:paraId="715212D8" w14:textId="77777777" w:rsidR="00752680" w:rsidRPr="00752680" w:rsidRDefault="00752680" w:rsidP="003F0C4E">
            <w:pPr>
              <w:spacing w:before="20" w:after="40" w:line="360" w:lineRule="auto"/>
              <w:jc w:val="center"/>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b/>
                <w:bCs/>
                <w:color w:val="262626"/>
                <w:sz w:val="20"/>
                <w:szCs w:val="20"/>
                <w:lang w:val="en-US" w:eastAsia="el-GR"/>
              </w:rPr>
              <w:t>(20.</w:t>
            </w:r>
            <w:r w:rsidRPr="00752680">
              <w:rPr>
                <w:rFonts w:asciiTheme="majorHAnsi" w:eastAsia="Times New Roman" w:hAnsiTheme="majorHAnsi" w:cstheme="majorHAnsi"/>
                <w:b/>
                <w:bCs/>
                <w:color w:val="262626"/>
                <w:sz w:val="20"/>
                <w:szCs w:val="20"/>
                <w:lang w:eastAsia="el-GR"/>
              </w:rPr>
              <w:t>606</w:t>
            </w:r>
            <w:r w:rsidRPr="00752680">
              <w:rPr>
                <w:rFonts w:asciiTheme="majorHAnsi" w:eastAsia="Times New Roman" w:hAnsiTheme="majorHAnsi" w:cstheme="majorHAnsi"/>
                <w:b/>
                <w:bCs/>
                <w:color w:val="262626"/>
                <w:sz w:val="20"/>
                <w:szCs w:val="20"/>
                <w:lang w:val="en-US" w:eastAsia="el-GR"/>
              </w:rPr>
              <w:t>)</w:t>
            </w:r>
          </w:p>
        </w:tc>
        <w:tc>
          <w:tcPr>
            <w:tcW w:w="821" w:type="pct"/>
            <w:tcBorders>
              <w:top w:val="nil"/>
              <w:left w:val="nil"/>
              <w:bottom w:val="single" w:sz="12" w:space="0" w:color="4BAFE1"/>
              <w:right w:val="nil"/>
            </w:tcBorders>
            <w:shd w:val="clear" w:color="auto" w:fill="auto"/>
            <w:tcMar>
              <w:top w:w="15" w:type="dxa"/>
              <w:left w:w="15" w:type="dxa"/>
              <w:bottom w:w="0" w:type="dxa"/>
              <w:right w:w="15" w:type="dxa"/>
            </w:tcMar>
            <w:vAlign w:val="center"/>
            <w:hideMark/>
          </w:tcPr>
          <w:p w14:paraId="74A9EC31" w14:textId="77777777" w:rsidR="00752680" w:rsidRPr="00752680" w:rsidRDefault="00752680" w:rsidP="003F0C4E">
            <w:pPr>
              <w:spacing w:before="20" w:after="40" w:line="360" w:lineRule="auto"/>
              <w:jc w:val="center"/>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b/>
                <w:bCs/>
                <w:color w:val="262626"/>
                <w:sz w:val="20"/>
                <w:szCs w:val="20"/>
                <w:lang w:val="en-US" w:eastAsia="el-GR"/>
              </w:rPr>
              <w:t>(20.45</w:t>
            </w:r>
            <w:r w:rsidRPr="00752680">
              <w:rPr>
                <w:rFonts w:asciiTheme="majorHAnsi" w:eastAsia="Times New Roman" w:hAnsiTheme="majorHAnsi" w:cstheme="majorHAnsi"/>
                <w:b/>
                <w:bCs/>
                <w:color w:val="262626"/>
                <w:sz w:val="20"/>
                <w:szCs w:val="20"/>
                <w:lang w:eastAsia="el-GR"/>
              </w:rPr>
              <w:t>9</w:t>
            </w:r>
            <w:r w:rsidRPr="00752680">
              <w:rPr>
                <w:rFonts w:asciiTheme="majorHAnsi" w:eastAsia="Times New Roman" w:hAnsiTheme="majorHAnsi" w:cstheme="majorHAnsi"/>
                <w:b/>
                <w:bCs/>
                <w:color w:val="262626"/>
                <w:sz w:val="20"/>
                <w:szCs w:val="20"/>
                <w:lang w:val="en-US" w:eastAsia="el-GR"/>
              </w:rPr>
              <w:t>)</w:t>
            </w:r>
          </w:p>
        </w:tc>
        <w:tc>
          <w:tcPr>
            <w:tcW w:w="745" w:type="pct"/>
            <w:tcBorders>
              <w:top w:val="single" w:sz="8" w:space="0" w:color="FFFFFF"/>
              <w:left w:val="nil"/>
              <w:bottom w:val="single" w:sz="12" w:space="0" w:color="4BAFE1"/>
              <w:right w:val="nil"/>
            </w:tcBorders>
            <w:shd w:val="clear" w:color="auto" w:fill="F2F2F2"/>
            <w:tcMar>
              <w:top w:w="15" w:type="dxa"/>
              <w:left w:w="15" w:type="dxa"/>
              <w:bottom w:w="0" w:type="dxa"/>
              <w:right w:w="15" w:type="dxa"/>
            </w:tcMar>
            <w:vAlign w:val="center"/>
            <w:hideMark/>
          </w:tcPr>
          <w:p w14:paraId="35D7059E" w14:textId="77777777" w:rsidR="00752680" w:rsidRPr="0068129F" w:rsidRDefault="00752680" w:rsidP="003F0C4E">
            <w:pPr>
              <w:spacing w:before="20" w:after="40" w:line="360" w:lineRule="auto"/>
              <w:jc w:val="center"/>
              <w:textAlignment w:val="center"/>
              <w:rPr>
                <w:rFonts w:asciiTheme="majorHAnsi" w:eastAsia="Times New Roman" w:hAnsiTheme="majorHAnsi" w:cstheme="majorHAnsi"/>
                <w:color w:val="000000" w:themeColor="text1"/>
                <w:sz w:val="20"/>
                <w:szCs w:val="20"/>
                <w:lang w:eastAsia="el-GR"/>
              </w:rPr>
            </w:pPr>
            <w:r w:rsidRPr="0068129F">
              <w:rPr>
                <w:rFonts w:asciiTheme="majorHAnsi" w:eastAsia="Times New Roman" w:hAnsiTheme="majorHAnsi" w:cstheme="majorHAnsi"/>
                <w:b/>
                <w:bCs/>
                <w:color w:val="000000" w:themeColor="text1"/>
                <w:sz w:val="20"/>
                <w:szCs w:val="20"/>
                <w:lang w:eastAsia="el-GR"/>
              </w:rPr>
              <w:t>+ 0</w:t>
            </w:r>
            <w:r w:rsidRPr="0068129F">
              <w:rPr>
                <w:rFonts w:asciiTheme="majorHAnsi" w:eastAsia="Times New Roman" w:hAnsiTheme="majorHAnsi" w:cstheme="majorHAnsi"/>
                <w:b/>
                <w:bCs/>
                <w:color w:val="000000" w:themeColor="text1"/>
                <w:sz w:val="20"/>
                <w:szCs w:val="20"/>
                <w:lang w:val="en-US" w:eastAsia="el-GR"/>
              </w:rPr>
              <w:t>,</w:t>
            </w:r>
            <w:r w:rsidRPr="0068129F">
              <w:rPr>
                <w:rFonts w:asciiTheme="majorHAnsi" w:eastAsia="Times New Roman" w:hAnsiTheme="majorHAnsi" w:cstheme="majorHAnsi"/>
                <w:b/>
                <w:bCs/>
                <w:color w:val="000000" w:themeColor="text1"/>
                <w:sz w:val="20"/>
                <w:szCs w:val="20"/>
                <w:lang w:eastAsia="el-GR"/>
              </w:rPr>
              <w:t>7%</w:t>
            </w:r>
          </w:p>
        </w:tc>
      </w:tr>
      <w:tr w:rsidR="003F0C4E" w:rsidRPr="00752680" w14:paraId="576FF198" w14:textId="77777777" w:rsidTr="003F0C4E">
        <w:trPr>
          <w:trHeight w:val="245"/>
        </w:trPr>
        <w:tc>
          <w:tcPr>
            <w:tcW w:w="2687" w:type="pct"/>
            <w:tcBorders>
              <w:top w:val="single" w:sz="12" w:space="0" w:color="4BAFE1"/>
              <w:left w:val="nil"/>
              <w:bottom w:val="single" w:sz="12" w:space="0" w:color="4BAFE1"/>
              <w:right w:val="nil"/>
            </w:tcBorders>
            <w:shd w:val="clear" w:color="auto" w:fill="auto"/>
            <w:tcMar>
              <w:top w:w="15" w:type="dxa"/>
              <w:left w:w="144" w:type="dxa"/>
              <w:bottom w:w="0" w:type="dxa"/>
              <w:right w:w="15" w:type="dxa"/>
            </w:tcMar>
            <w:vAlign w:val="center"/>
            <w:hideMark/>
          </w:tcPr>
          <w:p w14:paraId="226A7386" w14:textId="77777777" w:rsidR="00752680" w:rsidRPr="00752680" w:rsidRDefault="00752680" w:rsidP="00752680">
            <w:pPr>
              <w:spacing w:before="20" w:after="40" w:line="360" w:lineRule="auto"/>
              <w:ind w:left="230"/>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b/>
                <w:bCs/>
                <w:color w:val="2C2C71"/>
                <w:sz w:val="20"/>
                <w:szCs w:val="20"/>
                <w:lang w:eastAsia="el-GR"/>
              </w:rPr>
              <w:t>Κέρδη προ Φόρων</w:t>
            </w:r>
          </w:p>
        </w:tc>
        <w:tc>
          <w:tcPr>
            <w:tcW w:w="747" w:type="pct"/>
            <w:tcBorders>
              <w:top w:val="single" w:sz="12" w:space="0" w:color="4BAFE1"/>
              <w:left w:val="nil"/>
              <w:bottom w:val="single" w:sz="12" w:space="0" w:color="4BAFE1"/>
              <w:right w:val="nil"/>
            </w:tcBorders>
            <w:shd w:val="clear" w:color="auto" w:fill="F2F2F2"/>
            <w:tcMar>
              <w:top w:w="15" w:type="dxa"/>
              <w:left w:w="15" w:type="dxa"/>
              <w:bottom w:w="0" w:type="dxa"/>
              <w:right w:w="15" w:type="dxa"/>
            </w:tcMar>
            <w:vAlign w:val="center"/>
            <w:hideMark/>
          </w:tcPr>
          <w:p w14:paraId="68DEAA94" w14:textId="77777777" w:rsidR="00752680" w:rsidRPr="00752680" w:rsidRDefault="00752680" w:rsidP="003F0C4E">
            <w:pPr>
              <w:spacing w:before="20" w:after="40" w:line="360" w:lineRule="auto"/>
              <w:jc w:val="center"/>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b/>
                <w:bCs/>
                <w:color w:val="262626"/>
                <w:sz w:val="20"/>
                <w:szCs w:val="20"/>
                <w:lang w:eastAsia="el-GR"/>
              </w:rPr>
              <w:t>14.018</w:t>
            </w:r>
          </w:p>
        </w:tc>
        <w:tc>
          <w:tcPr>
            <w:tcW w:w="821" w:type="pct"/>
            <w:tcBorders>
              <w:top w:val="single" w:sz="12" w:space="0" w:color="4BAFE1"/>
              <w:left w:val="nil"/>
              <w:bottom w:val="single" w:sz="12" w:space="0" w:color="4BAFE1"/>
              <w:right w:val="nil"/>
            </w:tcBorders>
            <w:shd w:val="clear" w:color="auto" w:fill="auto"/>
            <w:tcMar>
              <w:top w:w="15" w:type="dxa"/>
              <w:left w:w="15" w:type="dxa"/>
              <w:bottom w:w="0" w:type="dxa"/>
              <w:right w:w="15" w:type="dxa"/>
            </w:tcMar>
            <w:vAlign w:val="center"/>
            <w:hideMark/>
          </w:tcPr>
          <w:p w14:paraId="4142D3DF" w14:textId="77777777" w:rsidR="00752680" w:rsidRPr="00752680" w:rsidRDefault="00752680" w:rsidP="003F0C4E">
            <w:pPr>
              <w:spacing w:before="20" w:after="40" w:line="360" w:lineRule="auto"/>
              <w:jc w:val="center"/>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b/>
                <w:bCs/>
                <w:color w:val="262626"/>
                <w:sz w:val="20"/>
                <w:szCs w:val="20"/>
                <w:lang w:eastAsia="el-GR"/>
              </w:rPr>
              <w:t>18.832</w:t>
            </w:r>
          </w:p>
        </w:tc>
        <w:tc>
          <w:tcPr>
            <w:tcW w:w="745" w:type="pct"/>
            <w:tcBorders>
              <w:top w:val="single" w:sz="12" w:space="0" w:color="4BAFE1"/>
              <w:left w:val="nil"/>
              <w:bottom w:val="single" w:sz="12" w:space="0" w:color="4BAFE1"/>
              <w:right w:val="nil"/>
            </w:tcBorders>
            <w:shd w:val="clear" w:color="auto" w:fill="F2F2F2"/>
            <w:tcMar>
              <w:top w:w="15" w:type="dxa"/>
              <w:left w:w="15" w:type="dxa"/>
              <w:bottom w:w="0" w:type="dxa"/>
              <w:right w:w="15" w:type="dxa"/>
            </w:tcMar>
            <w:vAlign w:val="center"/>
            <w:hideMark/>
          </w:tcPr>
          <w:p w14:paraId="3BC6DF43" w14:textId="77777777" w:rsidR="00752680" w:rsidRPr="0068129F" w:rsidRDefault="00752680" w:rsidP="003F0C4E">
            <w:pPr>
              <w:spacing w:before="20" w:after="40" w:line="360" w:lineRule="auto"/>
              <w:jc w:val="center"/>
              <w:textAlignment w:val="center"/>
              <w:rPr>
                <w:rFonts w:asciiTheme="majorHAnsi" w:eastAsia="Times New Roman" w:hAnsiTheme="majorHAnsi" w:cstheme="majorHAnsi"/>
                <w:color w:val="000000" w:themeColor="text1"/>
                <w:sz w:val="20"/>
                <w:szCs w:val="20"/>
                <w:lang w:eastAsia="el-GR"/>
              </w:rPr>
            </w:pPr>
            <w:r w:rsidRPr="0068129F">
              <w:rPr>
                <w:rFonts w:asciiTheme="majorHAnsi" w:eastAsia="Times New Roman" w:hAnsiTheme="majorHAnsi" w:cstheme="majorHAnsi"/>
                <w:b/>
                <w:bCs/>
                <w:color w:val="000000" w:themeColor="text1"/>
                <w:sz w:val="20"/>
                <w:szCs w:val="20"/>
                <w:lang w:eastAsia="el-GR"/>
              </w:rPr>
              <w:t>-25,6%</w:t>
            </w:r>
          </w:p>
        </w:tc>
      </w:tr>
      <w:tr w:rsidR="003F0C4E" w:rsidRPr="00752680" w14:paraId="1C8516BD" w14:textId="77777777" w:rsidTr="003F0C4E">
        <w:trPr>
          <w:trHeight w:val="486"/>
        </w:trPr>
        <w:tc>
          <w:tcPr>
            <w:tcW w:w="2687" w:type="pct"/>
            <w:tcBorders>
              <w:top w:val="single" w:sz="12" w:space="0" w:color="4BAFE1"/>
              <w:left w:val="nil"/>
              <w:bottom w:val="nil"/>
              <w:right w:val="nil"/>
            </w:tcBorders>
            <w:shd w:val="clear" w:color="auto" w:fill="auto"/>
            <w:tcMar>
              <w:top w:w="15" w:type="dxa"/>
              <w:left w:w="144" w:type="dxa"/>
              <w:bottom w:w="0" w:type="dxa"/>
              <w:right w:w="15" w:type="dxa"/>
            </w:tcMar>
            <w:vAlign w:val="center"/>
            <w:hideMark/>
          </w:tcPr>
          <w:p w14:paraId="7C942F67" w14:textId="77777777" w:rsidR="00752680" w:rsidRPr="00752680" w:rsidRDefault="00752680" w:rsidP="00752680">
            <w:pPr>
              <w:spacing w:before="20" w:after="40" w:line="360" w:lineRule="auto"/>
              <w:ind w:left="230"/>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b/>
                <w:bCs/>
                <w:color w:val="2C2C71"/>
                <w:sz w:val="20"/>
                <w:szCs w:val="20"/>
                <w:lang w:eastAsia="el-GR"/>
              </w:rPr>
              <w:t>Κέρδη μετά Φόρων</w:t>
            </w:r>
          </w:p>
        </w:tc>
        <w:tc>
          <w:tcPr>
            <w:tcW w:w="747" w:type="pct"/>
            <w:tcBorders>
              <w:top w:val="single" w:sz="12" w:space="0" w:color="4BAFE1"/>
              <w:left w:val="nil"/>
              <w:bottom w:val="nil"/>
              <w:right w:val="nil"/>
            </w:tcBorders>
            <w:shd w:val="clear" w:color="auto" w:fill="F2F2F2"/>
            <w:tcMar>
              <w:top w:w="15" w:type="dxa"/>
              <w:left w:w="15" w:type="dxa"/>
              <w:bottom w:w="0" w:type="dxa"/>
              <w:right w:w="15" w:type="dxa"/>
            </w:tcMar>
            <w:vAlign w:val="center"/>
            <w:hideMark/>
          </w:tcPr>
          <w:p w14:paraId="5BEB84CB" w14:textId="77777777" w:rsidR="00752680" w:rsidRPr="00752680" w:rsidRDefault="00752680" w:rsidP="003F0C4E">
            <w:pPr>
              <w:spacing w:before="20" w:after="40" w:line="360" w:lineRule="auto"/>
              <w:jc w:val="center"/>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b/>
                <w:bCs/>
                <w:color w:val="262626"/>
                <w:sz w:val="20"/>
                <w:szCs w:val="20"/>
                <w:lang w:eastAsia="el-GR"/>
              </w:rPr>
              <w:t>10.924</w:t>
            </w:r>
          </w:p>
        </w:tc>
        <w:tc>
          <w:tcPr>
            <w:tcW w:w="821" w:type="pct"/>
            <w:tcBorders>
              <w:top w:val="single" w:sz="12" w:space="0" w:color="4BAFE1"/>
              <w:left w:val="nil"/>
              <w:bottom w:val="nil"/>
              <w:right w:val="nil"/>
            </w:tcBorders>
            <w:shd w:val="clear" w:color="auto" w:fill="auto"/>
            <w:tcMar>
              <w:top w:w="15" w:type="dxa"/>
              <w:left w:w="15" w:type="dxa"/>
              <w:bottom w:w="0" w:type="dxa"/>
              <w:right w:w="15" w:type="dxa"/>
            </w:tcMar>
            <w:vAlign w:val="center"/>
            <w:hideMark/>
          </w:tcPr>
          <w:p w14:paraId="75523BAE" w14:textId="77777777" w:rsidR="00752680" w:rsidRPr="00752680" w:rsidRDefault="00752680" w:rsidP="003F0C4E">
            <w:pPr>
              <w:spacing w:before="20" w:after="40" w:line="360" w:lineRule="auto"/>
              <w:jc w:val="center"/>
              <w:textAlignment w:val="center"/>
              <w:rPr>
                <w:rFonts w:asciiTheme="majorHAnsi" w:eastAsia="Times New Roman" w:hAnsiTheme="majorHAnsi" w:cstheme="majorHAnsi"/>
                <w:sz w:val="20"/>
                <w:szCs w:val="20"/>
                <w:lang w:eastAsia="el-GR"/>
              </w:rPr>
            </w:pPr>
            <w:r w:rsidRPr="00752680">
              <w:rPr>
                <w:rFonts w:asciiTheme="majorHAnsi" w:eastAsia="Times New Roman" w:hAnsiTheme="majorHAnsi" w:cstheme="majorHAnsi"/>
                <w:b/>
                <w:bCs/>
                <w:color w:val="262626"/>
                <w:sz w:val="20"/>
                <w:szCs w:val="20"/>
                <w:lang w:eastAsia="el-GR"/>
              </w:rPr>
              <w:t>13.771</w:t>
            </w:r>
          </w:p>
        </w:tc>
        <w:tc>
          <w:tcPr>
            <w:tcW w:w="745" w:type="pct"/>
            <w:tcBorders>
              <w:top w:val="single" w:sz="12" w:space="0" w:color="4BAFE1"/>
              <w:left w:val="nil"/>
              <w:bottom w:val="nil"/>
              <w:right w:val="nil"/>
            </w:tcBorders>
            <w:shd w:val="clear" w:color="auto" w:fill="F2F2F2"/>
            <w:tcMar>
              <w:top w:w="15" w:type="dxa"/>
              <w:left w:w="15" w:type="dxa"/>
              <w:bottom w:w="0" w:type="dxa"/>
              <w:right w:w="15" w:type="dxa"/>
            </w:tcMar>
            <w:vAlign w:val="center"/>
            <w:hideMark/>
          </w:tcPr>
          <w:p w14:paraId="6EC87D8A" w14:textId="77777777" w:rsidR="00752680" w:rsidRPr="0068129F" w:rsidRDefault="00752680" w:rsidP="003F0C4E">
            <w:pPr>
              <w:spacing w:before="20" w:after="40" w:line="360" w:lineRule="auto"/>
              <w:jc w:val="center"/>
              <w:textAlignment w:val="center"/>
              <w:rPr>
                <w:rFonts w:asciiTheme="majorHAnsi" w:eastAsia="Times New Roman" w:hAnsiTheme="majorHAnsi" w:cstheme="majorHAnsi"/>
                <w:color w:val="000000" w:themeColor="text1"/>
                <w:sz w:val="20"/>
                <w:szCs w:val="20"/>
                <w:lang w:eastAsia="el-GR"/>
              </w:rPr>
            </w:pPr>
            <w:r w:rsidRPr="0068129F">
              <w:rPr>
                <w:rFonts w:asciiTheme="majorHAnsi" w:eastAsia="Times New Roman" w:hAnsiTheme="majorHAnsi" w:cstheme="majorHAnsi"/>
                <w:b/>
                <w:bCs/>
                <w:color w:val="000000" w:themeColor="text1"/>
                <w:sz w:val="20"/>
                <w:szCs w:val="20"/>
                <w:lang w:eastAsia="el-GR"/>
              </w:rPr>
              <w:t>- 20,7%</w:t>
            </w:r>
          </w:p>
        </w:tc>
      </w:tr>
    </w:tbl>
    <w:p w14:paraId="6065EA03" w14:textId="77777777" w:rsidR="009A72E6" w:rsidRPr="009A72E6" w:rsidRDefault="009A72E6" w:rsidP="009A72E6">
      <w:pPr>
        <w:spacing w:before="120" w:after="0"/>
        <w:jc w:val="both"/>
        <w:rPr>
          <w:rFonts w:asciiTheme="majorHAnsi" w:eastAsiaTheme="majorEastAsia" w:hAnsiTheme="majorHAnsi" w:cstheme="majorBidi"/>
          <w:sz w:val="18"/>
          <w:szCs w:val="18"/>
        </w:rPr>
      </w:pPr>
    </w:p>
    <w:p w14:paraId="53CE0F17" w14:textId="27FAED14" w:rsidR="00F87003" w:rsidRPr="00756DF8" w:rsidRDefault="00E14FC9" w:rsidP="00D05996">
      <w:pPr>
        <w:spacing w:before="120"/>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Αναφορικά με τα βασικά μεγέθη του Ισολογισμού, σημειώνονται τα κάτωθι:</w:t>
      </w:r>
    </w:p>
    <w:p w14:paraId="598CDC37" w14:textId="70905C29" w:rsidR="00E14FC9" w:rsidRPr="00756DF8" w:rsidRDefault="00E14FC9" w:rsidP="00D05996">
      <w:pPr>
        <w:pStyle w:val="a6"/>
        <w:numPr>
          <w:ilvl w:val="0"/>
          <w:numId w:val="2"/>
        </w:numPr>
        <w:spacing w:line="259" w:lineRule="auto"/>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Το </w:t>
      </w:r>
      <w:r w:rsidRPr="00756DF8">
        <w:rPr>
          <w:rFonts w:asciiTheme="majorHAnsi" w:eastAsiaTheme="majorEastAsia" w:hAnsiTheme="majorHAnsi" w:cstheme="majorBidi"/>
          <w:b/>
          <w:bCs/>
          <w:sz w:val="24"/>
          <w:szCs w:val="24"/>
        </w:rPr>
        <w:t>Συνολικό Ενεργητικό</w:t>
      </w:r>
      <w:r w:rsidRPr="00756DF8">
        <w:rPr>
          <w:rFonts w:asciiTheme="majorHAnsi" w:eastAsiaTheme="majorEastAsia" w:hAnsiTheme="majorHAnsi" w:cstheme="majorBidi"/>
          <w:sz w:val="24"/>
          <w:szCs w:val="24"/>
        </w:rPr>
        <w:t xml:space="preserve"> της Εταιρίας παρουσίασε αύξηση ύψους 1,3% και διαμορφώθηκε στα 516,6 εκ. ευρώ</w:t>
      </w:r>
      <w:r w:rsidR="004D500D">
        <w:rPr>
          <w:rFonts w:asciiTheme="majorHAnsi" w:eastAsiaTheme="majorEastAsia" w:hAnsiTheme="majorHAnsi" w:cstheme="majorBidi"/>
          <w:sz w:val="24"/>
          <w:szCs w:val="24"/>
        </w:rPr>
        <w:t>,</w:t>
      </w:r>
      <w:r w:rsidRPr="00756DF8">
        <w:rPr>
          <w:rFonts w:asciiTheme="majorHAnsi" w:eastAsiaTheme="majorEastAsia" w:hAnsiTheme="majorHAnsi" w:cstheme="majorBidi"/>
          <w:sz w:val="24"/>
          <w:szCs w:val="24"/>
        </w:rPr>
        <w:t xml:space="preserve"> έναντι 509,7 εκ. ευρώ την 31/12/2020.</w:t>
      </w:r>
    </w:p>
    <w:p w14:paraId="6A80F59B" w14:textId="634FCBE6" w:rsidR="00493452" w:rsidRPr="00756DF8" w:rsidRDefault="00493452" w:rsidP="00D05996">
      <w:pPr>
        <w:pStyle w:val="a6"/>
        <w:numPr>
          <w:ilvl w:val="0"/>
          <w:numId w:val="2"/>
        </w:numPr>
        <w:spacing w:line="259" w:lineRule="auto"/>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Το </w:t>
      </w:r>
      <w:r w:rsidRPr="00756DF8">
        <w:rPr>
          <w:rFonts w:asciiTheme="majorHAnsi" w:eastAsiaTheme="majorEastAsia" w:hAnsiTheme="majorHAnsi" w:cstheme="majorBidi"/>
          <w:b/>
          <w:bCs/>
          <w:sz w:val="24"/>
          <w:szCs w:val="24"/>
        </w:rPr>
        <w:t>Επενδυτικό Χαρτοφυλάκιο</w:t>
      </w:r>
      <w:r w:rsidRPr="00756DF8">
        <w:rPr>
          <w:rFonts w:asciiTheme="majorHAnsi" w:eastAsiaTheme="majorEastAsia" w:hAnsiTheme="majorHAnsi" w:cstheme="majorBidi"/>
          <w:sz w:val="24"/>
          <w:szCs w:val="24"/>
        </w:rPr>
        <w:t xml:space="preserve"> της Εταιρίας συνέχισε να είναι τοποθετημένο σε τίτλους υψηλής πιστοληπτικής διαβάθμισης και ανήλθε σε 426,7 εκ. ευρώ, έναντι 412,5 εκ. ευρώ την 31/12/2020, παρουσιάζοντας αύξηση 3,4%.</w:t>
      </w:r>
    </w:p>
    <w:p w14:paraId="705B1FDC" w14:textId="77777777" w:rsidR="00493452" w:rsidRPr="00756DF8" w:rsidRDefault="00493452" w:rsidP="00D05996">
      <w:pPr>
        <w:pStyle w:val="a6"/>
        <w:numPr>
          <w:ilvl w:val="0"/>
          <w:numId w:val="2"/>
        </w:numPr>
        <w:spacing w:line="259" w:lineRule="auto"/>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 Τα </w:t>
      </w:r>
      <w:r w:rsidRPr="00756DF8">
        <w:rPr>
          <w:rFonts w:asciiTheme="majorHAnsi" w:eastAsiaTheme="majorEastAsia" w:hAnsiTheme="majorHAnsi" w:cstheme="majorBidi"/>
          <w:b/>
          <w:bCs/>
          <w:sz w:val="24"/>
          <w:szCs w:val="24"/>
        </w:rPr>
        <w:t>Μαθηματικά Αποθέματα &amp; Τεχνικές Προβλέψεις</w:t>
      </w:r>
      <w:r w:rsidRPr="00756DF8">
        <w:rPr>
          <w:rFonts w:asciiTheme="majorHAnsi" w:eastAsiaTheme="majorEastAsia" w:hAnsiTheme="majorHAnsi" w:cstheme="majorBidi"/>
          <w:sz w:val="24"/>
          <w:szCs w:val="24"/>
        </w:rPr>
        <w:t xml:space="preserve"> ανήλθαν στα 335,6 εκ. ευρώ, έναντι 312,9 εκ. ευρώ την 31/12/2020, παρουσιάζοντας αύξηση 7,3%.</w:t>
      </w:r>
    </w:p>
    <w:p w14:paraId="72E231FB" w14:textId="77777777" w:rsidR="00493452" w:rsidRPr="00756DF8" w:rsidRDefault="00493452" w:rsidP="00D05996">
      <w:pPr>
        <w:pStyle w:val="a6"/>
        <w:numPr>
          <w:ilvl w:val="0"/>
          <w:numId w:val="2"/>
        </w:numPr>
        <w:spacing w:line="259" w:lineRule="auto"/>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Τα </w:t>
      </w:r>
      <w:r w:rsidRPr="00756DF8">
        <w:rPr>
          <w:rFonts w:asciiTheme="majorHAnsi" w:eastAsiaTheme="majorEastAsia" w:hAnsiTheme="majorHAnsi" w:cstheme="majorBidi"/>
          <w:b/>
          <w:bCs/>
          <w:sz w:val="24"/>
          <w:szCs w:val="24"/>
        </w:rPr>
        <w:t>Ίδια Κεφάλαια</w:t>
      </w:r>
      <w:r w:rsidRPr="00756DF8">
        <w:rPr>
          <w:rFonts w:asciiTheme="majorHAnsi" w:eastAsiaTheme="majorEastAsia" w:hAnsiTheme="majorHAnsi" w:cstheme="majorBidi"/>
          <w:sz w:val="24"/>
          <w:szCs w:val="24"/>
        </w:rPr>
        <w:t xml:space="preserve"> διαμορφώθηκαν στα 153,2 εκ. ευρώ, λαμβάνοντας υπόψιν τα Αποτελέσματα Περιόδου ύψους 10,9 εκ. ευρώ, καθώς και το διανεμηθέν μέρισμα του έτους 2020 ύψους 7,9 εκ. ευρώ, έναντι 154,0 εκ. ευρώ την 31/12/2020, σημειώνοντας οριακή πτώση ύψους 0,5%.</w:t>
      </w:r>
    </w:p>
    <w:p w14:paraId="0D33CA9C" w14:textId="563E7275" w:rsidR="00896C06" w:rsidRPr="00756DF8" w:rsidRDefault="00896C06" w:rsidP="00D05996">
      <w:pPr>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Τα ανωτέρω μεγέθη </w:t>
      </w:r>
      <w:r w:rsidR="008C6E64">
        <w:rPr>
          <w:rFonts w:asciiTheme="majorHAnsi" w:eastAsiaTheme="majorEastAsia" w:hAnsiTheme="majorHAnsi" w:cstheme="majorBidi"/>
          <w:sz w:val="24"/>
          <w:szCs w:val="24"/>
        </w:rPr>
        <w:t>διαμόρφωσαν το Δείκτη</w:t>
      </w:r>
      <w:r w:rsidRPr="00756DF8">
        <w:rPr>
          <w:rFonts w:asciiTheme="majorHAnsi" w:eastAsiaTheme="majorEastAsia" w:hAnsiTheme="majorHAnsi" w:cstheme="majorBidi"/>
          <w:sz w:val="24"/>
          <w:szCs w:val="24"/>
        </w:rPr>
        <w:t xml:space="preserve"> Απόδοση</w:t>
      </w:r>
      <w:r w:rsidR="008C6E64">
        <w:rPr>
          <w:rFonts w:asciiTheme="majorHAnsi" w:eastAsiaTheme="majorEastAsia" w:hAnsiTheme="majorHAnsi" w:cstheme="majorBidi"/>
          <w:sz w:val="24"/>
          <w:szCs w:val="24"/>
        </w:rPr>
        <w:t>ς</w:t>
      </w:r>
      <w:r w:rsidRPr="00756DF8">
        <w:rPr>
          <w:rFonts w:asciiTheme="majorHAnsi" w:eastAsiaTheme="majorEastAsia" w:hAnsiTheme="majorHAnsi" w:cstheme="majorBidi"/>
          <w:sz w:val="24"/>
          <w:szCs w:val="24"/>
        </w:rPr>
        <w:t xml:space="preserve"> Ιδίων Κεφαλαίων προ φόρων (ROE) </w:t>
      </w:r>
      <w:r w:rsidR="008C6E64">
        <w:rPr>
          <w:rFonts w:asciiTheme="majorHAnsi" w:eastAsiaTheme="majorEastAsia" w:hAnsiTheme="majorHAnsi" w:cstheme="majorBidi"/>
          <w:sz w:val="24"/>
          <w:szCs w:val="24"/>
        </w:rPr>
        <w:t>στο</w:t>
      </w:r>
      <w:r w:rsidRPr="00756DF8">
        <w:rPr>
          <w:rFonts w:asciiTheme="majorHAnsi" w:eastAsiaTheme="majorEastAsia" w:hAnsiTheme="majorHAnsi" w:cstheme="majorBidi"/>
          <w:sz w:val="24"/>
          <w:szCs w:val="24"/>
        </w:rPr>
        <w:t xml:space="preserve"> 13,5%.</w:t>
      </w:r>
    </w:p>
    <w:p w14:paraId="56A3F1D2" w14:textId="33C0F996" w:rsidR="00E14FC9" w:rsidRPr="00756DF8" w:rsidRDefault="00E14FC9">
      <w:pPr>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br w:type="page"/>
      </w:r>
    </w:p>
    <w:tbl>
      <w:tblPr>
        <w:tblW w:w="5538" w:type="pct"/>
        <w:tblInd w:w="-426" w:type="dxa"/>
        <w:tblLayout w:type="fixed"/>
        <w:tblCellMar>
          <w:left w:w="0" w:type="dxa"/>
          <w:right w:w="0" w:type="dxa"/>
        </w:tblCellMar>
        <w:tblLook w:val="0600" w:firstRow="0" w:lastRow="0" w:firstColumn="0" w:lastColumn="0" w:noHBand="1" w:noVBand="1"/>
      </w:tblPr>
      <w:tblGrid>
        <w:gridCol w:w="5105"/>
        <w:gridCol w:w="1416"/>
        <w:gridCol w:w="1559"/>
        <w:gridCol w:w="1702"/>
      </w:tblGrid>
      <w:tr w:rsidR="0039276D" w:rsidRPr="009568A3" w14:paraId="2A50AB03" w14:textId="77777777" w:rsidTr="00E14FC9">
        <w:trPr>
          <w:trHeight w:val="373"/>
        </w:trPr>
        <w:tc>
          <w:tcPr>
            <w:tcW w:w="2609" w:type="pct"/>
            <w:tcBorders>
              <w:top w:val="nil"/>
              <w:left w:val="nil"/>
              <w:bottom w:val="single" w:sz="12" w:space="0" w:color="4BAFE1"/>
              <w:right w:val="single" w:sz="4" w:space="0" w:color="FFFFFF" w:themeColor="background1"/>
            </w:tcBorders>
            <w:shd w:val="clear" w:color="auto" w:fill="2191C9"/>
            <w:tcMar>
              <w:top w:w="10" w:type="dxa"/>
              <w:left w:w="283" w:type="dxa"/>
              <w:bottom w:w="0" w:type="dxa"/>
              <w:right w:w="10" w:type="dxa"/>
            </w:tcMar>
            <w:vAlign w:val="center"/>
            <w:hideMark/>
          </w:tcPr>
          <w:p w14:paraId="184B79F2" w14:textId="301FF3AF" w:rsidR="009568A3" w:rsidRPr="009568A3" w:rsidRDefault="009568A3" w:rsidP="0039276D">
            <w:pPr>
              <w:spacing w:before="40" w:after="40" w:line="276" w:lineRule="auto"/>
              <w:textAlignment w:val="center"/>
              <w:rPr>
                <w:rFonts w:ascii="72 Black" w:eastAsia="Times New Roman" w:hAnsi="72 Black" w:cs="72 Black"/>
                <w:b/>
                <w:bCs/>
                <w:color w:val="FFFFFF"/>
                <w:sz w:val="19"/>
                <w:szCs w:val="19"/>
                <w:lang w:eastAsia="el-GR"/>
              </w:rPr>
            </w:pPr>
            <w:r w:rsidRPr="009568A3">
              <w:rPr>
                <w:rFonts w:ascii="72 Black" w:eastAsia="Times New Roman" w:hAnsi="72 Black" w:cs="72 Black"/>
                <w:b/>
                <w:bCs/>
                <w:color w:val="FFFFFF"/>
                <w:sz w:val="19"/>
                <w:szCs w:val="19"/>
                <w:lang w:eastAsia="el-GR"/>
              </w:rPr>
              <w:lastRenderedPageBreak/>
              <w:t xml:space="preserve">(Ποσά σε € χιλ.) </w:t>
            </w:r>
          </w:p>
        </w:tc>
        <w:tc>
          <w:tcPr>
            <w:tcW w:w="724" w:type="pct"/>
            <w:tcBorders>
              <w:top w:val="nil"/>
              <w:left w:val="single" w:sz="4" w:space="0" w:color="FFFFFF" w:themeColor="background1"/>
              <w:bottom w:val="single" w:sz="12" w:space="0" w:color="4BAFE1"/>
              <w:right w:val="single" w:sz="4" w:space="0" w:color="FFFFFF" w:themeColor="background1"/>
            </w:tcBorders>
            <w:shd w:val="clear" w:color="auto" w:fill="2191C9"/>
            <w:tcMar>
              <w:top w:w="15" w:type="dxa"/>
              <w:left w:w="15" w:type="dxa"/>
              <w:bottom w:w="0" w:type="dxa"/>
              <w:right w:w="15" w:type="dxa"/>
            </w:tcMar>
            <w:vAlign w:val="bottom"/>
            <w:hideMark/>
          </w:tcPr>
          <w:p w14:paraId="2291F8C1" w14:textId="77777777" w:rsidR="009568A3" w:rsidRPr="009568A3" w:rsidRDefault="009568A3" w:rsidP="00141EE4">
            <w:pPr>
              <w:spacing w:before="40" w:after="40" w:line="276" w:lineRule="auto"/>
              <w:ind w:left="274"/>
              <w:jc w:val="center"/>
              <w:textAlignment w:val="center"/>
              <w:rPr>
                <w:rFonts w:ascii="72 Black" w:eastAsia="Times New Roman" w:hAnsi="72 Black" w:cs="72 Black"/>
                <w:b/>
                <w:bCs/>
                <w:color w:val="FFFFFF"/>
                <w:sz w:val="19"/>
                <w:szCs w:val="19"/>
                <w:lang w:eastAsia="el-GR"/>
              </w:rPr>
            </w:pPr>
            <w:r w:rsidRPr="009568A3">
              <w:rPr>
                <w:rFonts w:ascii="72 Black" w:eastAsia="Times New Roman" w:hAnsi="72 Black" w:cs="72 Black"/>
                <w:b/>
                <w:bCs/>
                <w:color w:val="FFFFFF"/>
                <w:sz w:val="19"/>
                <w:szCs w:val="19"/>
                <w:lang w:eastAsia="el-GR"/>
              </w:rPr>
              <w:t>9Μ 2021</w:t>
            </w:r>
          </w:p>
        </w:tc>
        <w:tc>
          <w:tcPr>
            <w:tcW w:w="797" w:type="pct"/>
            <w:tcBorders>
              <w:top w:val="nil"/>
              <w:left w:val="single" w:sz="4" w:space="0" w:color="FFFFFF" w:themeColor="background1"/>
              <w:bottom w:val="single" w:sz="12" w:space="0" w:color="4BAFE1"/>
              <w:right w:val="single" w:sz="4" w:space="0" w:color="FFFFFF" w:themeColor="background1"/>
            </w:tcBorders>
            <w:shd w:val="clear" w:color="auto" w:fill="2191C9"/>
            <w:tcMar>
              <w:top w:w="15" w:type="dxa"/>
              <w:left w:w="15" w:type="dxa"/>
              <w:bottom w:w="0" w:type="dxa"/>
              <w:right w:w="15" w:type="dxa"/>
            </w:tcMar>
            <w:vAlign w:val="bottom"/>
            <w:hideMark/>
          </w:tcPr>
          <w:p w14:paraId="5500D4A9" w14:textId="77777777" w:rsidR="009568A3" w:rsidRPr="009568A3" w:rsidRDefault="009568A3" w:rsidP="00141EE4">
            <w:pPr>
              <w:spacing w:before="40" w:after="40" w:line="276" w:lineRule="auto"/>
              <w:ind w:left="274"/>
              <w:jc w:val="center"/>
              <w:textAlignment w:val="center"/>
              <w:rPr>
                <w:rFonts w:ascii="72 Black" w:eastAsia="Times New Roman" w:hAnsi="72 Black" w:cs="72 Black"/>
                <w:b/>
                <w:bCs/>
                <w:color w:val="FFFFFF"/>
                <w:sz w:val="19"/>
                <w:szCs w:val="19"/>
                <w:lang w:eastAsia="el-GR"/>
              </w:rPr>
            </w:pPr>
            <w:r w:rsidRPr="009568A3">
              <w:rPr>
                <w:rFonts w:ascii="72 Black" w:eastAsia="Times New Roman" w:hAnsi="72 Black" w:cs="72 Black"/>
                <w:b/>
                <w:bCs/>
                <w:color w:val="FFFFFF"/>
                <w:sz w:val="19"/>
                <w:szCs w:val="19"/>
                <w:lang w:eastAsia="el-GR"/>
              </w:rPr>
              <w:t>31/12/2020</w:t>
            </w:r>
          </w:p>
        </w:tc>
        <w:tc>
          <w:tcPr>
            <w:tcW w:w="870" w:type="pct"/>
            <w:tcBorders>
              <w:top w:val="nil"/>
              <w:left w:val="single" w:sz="4" w:space="0" w:color="FFFFFF" w:themeColor="background1"/>
              <w:bottom w:val="single" w:sz="12" w:space="0" w:color="4BAFE1"/>
              <w:right w:val="nil"/>
            </w:tcBorders>
            <w:shd w:val="clear" w:color="auto" w:fill="2191C9"/>
            <w:tcMar>
              <w:top w:w="15" w:type="dxa"/>
              <w:left w:w="15" w:type="dxa"/>
              <w:bottom w:w="0" w:type="dxa"/>
              <w:right w:w="15" w:type="dxa"/>
            </w:tcMar>
            <w:vAlign w:val="bottom"/>
            <w:hideMark/>
          </w:tcPr>
          <w:p w14:paraId="1BEB3B5A" w14:textId="5132092F" w:rsidR="009568A3" w:rsidRPr="009568A3" w:rsidRDefault="0039276D" w:rsidP="0039276D">
            <w:pPr>
              <w:spacing w:before="40" w:after="40" w:line="276" w:lineRule="auto"/>
              <w:textAlignment w:val="center"/>
              <w:rPr>
                <w:rFonts w:ascii="72 Black" w:eastAsia="Times New Roman" w:hAnsi="72 Black" w:cs="72 Black"/>
                <w:b/>
                <w:bCs/>
                <w:color w:val="FFFFFF"/>
                <w:sz w:val="19"/>
                <w:szCs w:val="19"/>
                <w:lang w:eastAsia="el-GR"/>
              </w:rPr>
            </w:pPr>
            <w:r>
              <w:rPr>
                <w:rFonts w:ascii="72 Black" w:eastAsia="Times New Roman" w:hAnsi="72 Black" w:cs="72 Black"/>
                <w:b/>
                <w:bCs/>
                <w:color w:val="FFFFFF"/>
                <w:sz w:val="19"/>
                <w:szCs w:val="19"/>
                <w:lang w:val="en-US" w:eastAsia="el-GR"/>
              </w:rPr>
              <w:t xml:space="preserve"> </w:t>
            </w:r>
            <w:r w:rsidR="009568A3" w:rsidRPr="009568A3">
              <w:rPr>
                <w:rFonts w:ascii="72 Black" w:eastAsia="Times New Roman" w:hAnsi="72 Black" w:cs="72 Black"/>
                <w:b/>
                <w:bCs/>
                <w:color w:val="FFFFFF"/>
                <w:sz w:val="19"/>
                <w:szCs w:val="19"/>
                <w:lang w:eastAsia="el-GR"/>
              </w:rPr>
              <w:t>Μεταβολή (%)</w:t>
            </w:r>
          </w:p>
        </w:tc>
      </w:tr>
      <w:tr w:rsidR="0039276D" w:rsidRPr="009568A3" w14:paraId="382F55FF" w14:textId="77777777" w:rsidTr="00E14FC9">
        <w:trPr>
          <w:trHeight w:val="172"/>
        </w:trPr>
        <w:tc>
          <w:tcPr>
            <w:tcW w:w="2609" w:type="pct"/>
            <w:tcBorders>
              <w:top w:val="single" w:sz="12" w:space="0" w:color="4BAFE1"/>
              <w:left w:val="nil"/>
              <w:bottom w:val="nil"/>
              <w:right w:val="nil"/>
            </w:tcBorders>
            <w:shd w:val="clear" w:color="auto" w:fill="F2F2F2"/>
            <w:tcMar>
              <w:top w:w="15" w:type="dxa"/>
              <w:left w:w="283" w:type="dxa"/>
              <w:bottom w:w="0" w:type="dxa"/>
              <w:right w:w="15" w:type="dxa"/>
            </w:tcMar>
            <w:vAlign w:val="center"/>
            <w:hideMark/>
          </w:tcPr>
          <w:p w14:paraId="73BD5838" w14:textId="77777777" w:rsidR="009568A3" w:rsidRPr="009568A3" w:rsidRDefault="009568A3" w:rsidP="0039276D">
            <w:pPr>
              <w:spacing w:after="0" w:line="240" w:lineRule="auto"/>
              <w:textAlignment w:val="center"/>
              <w:rPr>
                <w:rFonts w:asciiTheme="majorHAnsi" w:eastAsia="Times New Roman" w:hAnsiTheme="majorHAnsi" w:cstheme="majorHAnsi"/>
                <w:sz w:val="20"/>
                <w:szCs w:val="20"/>
                <w:lang w:eastAsia="el-GR"/>
              </w:rPr>
            </w:pPr>
            <w:r w:rsidRPr="009568A3">
              <w:rPr>
                <w:rFonts w:asciiTheme="majorHAnsi" w:eastAsiaTheme="minorEastAsia" w:hAnsiTheme="majorHAnsi" w:cstheme="majorHAnsi"/>
                <w:color w:val="262626" w:themeColor="text1" w:themeTint="D9"/>
                <w:kern w:val="24"/>
                <w:sz w:val="20"/>
                <w:szCs w:val="20"/>
                <w:lang w:eastAsia="el-GR"/>
              </w:rPr>
              <w:t>Σύνολο Ενεργητικού</w:t>
            </w:r>
          </w:p>
        </w:tc>
        <w:tc>
          <w:tcPr>
            <w:tcW w:w="724" w:type="pct"/>
            <w:tcBorders>
              <w:top w:val="single" w:sz="12" w:space="0" w:color="4BAFE1"/>
              <w:left w:val="nil"/>
              <w:bottom w:val="nil"/>
              <w:right w:val="nil"/>
            </w:tcBorders>
            <w:shd w:val="clear" w:color="auto" w:fill="F2F2F2"/>
            <w:tcMar>
              <w:top w:w="15" w:type="dxa"/>
              <w:left w:w="15" w:type="dxa"/>
              <w:bottom w:w="0" w:type="dxa"/>
              <w:right w:w="15" w:type="dxa"/>
            </w:tcMar>
            <w:vAlign w:val="center"/>
            <w:hideMark/>
          </w:tcPr>
          <w:p w14:paraId="41EE5D25" w14:textId="77777777" w:rsidR="009568A3" w:rsidRPr="009568A3" w:rsidRDefault="009568A3" w:rsidP="00141EE4">
            <w:pPr>
              <w:spacing w:after="0" w:line="240" w:lineRule="auto"/>
              <w:ind w:left="274"/>
              <w:jc w:val="center"/>
              <w:textAlignment w:val="center"/>
              <w:rPr>
                <w:rFonts w:asciiTheme="majorHAnsi" w:eastAsia="Times New Roman" w:hAnsiTheme="majorHAnsi" w:cstheme="majorHAnsi"/>
                <w:sz w:val="20"/>
                <w:szCs w:val="20"/>
                <w:lang w:eastAsia="el-GR"/>
              </w:rPr>
            </w:pPr>
            <w:r w:rsidRPr="009568A3">
              <w:rPr>
                <w:rFonts w:asciiTheme="majorHAnsi" w:eastAsia="Times New Roman" w:hAnsiTheme="majorHAnsi" w:cstheme="majorHAnsi"/>
                <w:color w:val="262626"/>
                <w:sz w:val="20"/>
                <w:szCs w:val="20"/>
                <w:lang w:eastAsia="el-GR"/>
              </w:rPr>
              <w:t>516.549</w:t>
            </w:r>
          </w:p>
        </w:tc>
        <w:tc>
          <w:tcPr>
            <w:tcW w:w="797" w:type="pct"/>
            <w:tcBorders>
              <w:top w:val="single" w:sz="12" w:space="0" w:color="4BAFE1"/>
              <w:left w:val="nil"/>
              <w:bottom w:val="nil"/>
              <w:right w:val="nil"/>
            </w:tcBorders>
            <w:shd w:val="clear" w:color="auto" w:fill="F2F2F2"/>
            <w:tcMar>
              <w:top w:w="15" w:type="dxa"/>
              <w:left w:w="15" w:type="dxa"/>
              <w:bottom w:w="0" w:type="dxa"/>
              <w:right w:w="15" w:type="dxa"/>
            </w:tcMar>
            <w:vAlign w:val="center"/>
            <w:hideMark/>
          </w:tcPr>
          <w:p w14:paraId="70783792" w14:textId="77777777" w:rsidR="009568A3" w:rsidRPr="009568A3" w:rsidRDefault="009568A3" w:rsidP="00141EE4">
            <w:pPr>
              <w:spacing w:after="0" w:line="240" w:lineRule="auto"/>
              <w:ind w:left="274"/>
              <w:jc w:val="center"/>
              <w:textAlignment w:val="center"/>
              <w:rPr>
                <w:rFonts w:asciiTheme="majorHAnsi" w:eastAsia="Times New Roman" w:hAnsiTheme="majorHAnsi" w:cstheme="majorHAnsi"/>
                <w:sz w:val="20"/>
                <w:szCs w:val="20"/>
                <w:lang w:eastAsia="el-GR"/>
              </w:rPr>
            </w:pPr>
            <w:r w:rsidRPr="009568A3">
              <w:rPr>
                <w:rFonts w:asciiTheme="majorHAnsi" w:eastAsia="Times New Roman" w:hAnsiTheme="majorHAnsi" w:cstheme="majorHAnsi"/>
                <w:color w:val="262626"/>
                <w:sz w:val="20"/>
                <w:szCs w:val="20"/>
                <w:lang w:eastAsia="el-GR"/>
              </w:rPr>
              <w:t>509.714</w:t>
            </w:r>
          </w:p>
        </w:tc>
        <w:tc>
          <w:tcPr>
            <w:tcW w:w="870" w:type="pct"/>
            <w:tcBorders>
              <w:top w:val="single" w:sz="12" w:space="0" w:color="4BAFE1"/>
              <w:left w:val="nil"/>
              <w:bottom w:val="nil"/>
              <w:right w:val="nil"/>
            </w:tcBorders>
            <w:shd w:val="clear" w:color="auto" w:fill="F2F2F2"/>
            <w:tcMar>
              <w:top w:w="15" w:type="dxa"/>
              <w:left w:w="15" w:type="dxa"/>
              <w:bottom w:w="0" w:type="dxa"/>
              <w:right w:w="15" w:type="dxa"/>
            </w:tcMar>
            <w:vAlign w:val="center"/>
            <w:hideMark/>
          </w:tcPr>
          <w:p w14:paraId="4EF8C1CB" w14:textId="5037E4C3" w:rsidR="009568A3" w:rsidRPr="0068129F" w:rsidRDefault="009568A3" w:rsidP="0039276D">
            <w:pPr>
              <w:spacing w:after="0" w:line="240" w:lineRule="auto"/>
              <w:jc w:val="center"/>
              <w:textAlignment w:val="center"/>
              <w:rPr>
                <w:rFonts w:asciiTheme="majorHAnsi" w:eastAsia="Times New Roman" w:hAnsiTheme="majorHAnsi" w:cstheme="majorHAnsi"/>
                <w:color w:val="000000" w:themeColor="text1"/>
                <w:sz w:val="20"/>
                <w:szCs w:val="20"/>
                <w:lang w:eastAsia="el-GR"/>
              </w:rPr>
            </w:pPr>
            <w:r w:rsidRPr="0068129F">
              <w:rPr>
                <w:rFonts w:asciiTheme="majorHAnsi" w:eastAsia="Times New Roman" w:hAnsiTheme="majorHAnsi" w:cstheme="majorHAnsi"/>
                <w:color w:val="000000" w:themeColor="text1"/>
                <w:sz w:val="20"/>
                <w:szCs w:val="20"/>
                <w:lang w:eastAsia="el-GR"/>
              </w:rPr>
              <w:t>1,3%</w:t>
            </w:r>
          </w:p>
        </w:tc>
      </w:tr>
      <w:tr w:rsidR="0039276D" w:rsidRPr="009568A3" w14:paraId="42787997" w14:textId="77777777" w:rsidTr="00E14FC9">
        <w:trPr>
          <w:trHeight w:val="618"/>
        </w:trPr>
        <w:tc>
          <w:tcPr>
            <w:tcW w:w="2609" w:type="pct"/>
            <w:tcBorders>
              <w:top w:val="nil"/>
              <w:left w:val="nil"/>
              <w:bottom w:val="nil"/>
              <w:right w:val="nil"/>
            </w:tcBorders>
            <w:shd w:val="clear" w:color="auto" w:fill="F2F2F2"/>
            <w:tcMar>
              <w:top w:w="15" w:type="dxa"/>
              <w:left w:w="283" w:type="dxa"/>
              <w:bottom w:w="0" w:type="dxa"/>
              <w:right w:w="15" w:type="dxa"/>
            </w:tcMar>
            <w:vAlign w:val="center"/>
            <w:hideMark/>
          </w:tcPr>
          <w:p w14:paraId="0B02FBE5" w14:textId="77777777" w:rsidR="009568A3" w:rsidRPr="009568A3" w:rsidRDefault="009568A3" w:rsidP="0039276D">
            <w:pPr>
              <w:spacing w:after="0" w:line="240" w:lineRule="auto"/>
              <w:textAlignment w:val="center"/>
              <w:rPr>
                <w:rFonts w:asciiTheme="majorHAnsi" w:eastAsia="Times New Roman" w:hAnsiTheme="majorHAnsi" w:cstheme="majorHAnsi"/>
                <w:sz w:val="20"/>
                <w:szCs w:val="20"/>
                <w:lang w:eastAsia="el-GR"/>
              </w:rPr>
            </w:pPr>
            <w:r w:rsidRPr="009568A3">
              <w:rPr>
                <w:rFonts w:asciiTheme="majorHAnsi" w:eastAsiaTheme="minorEastAsia" w:hAnsiTheme="majorHAnsi" w:cstheme="majorHAnsi"/>
                <w:color w:val="262626" w:themeColor="text1" w:themeTint="D9"/>
                <w:kern w:val="24"/>
                <w:sz w:val="20"/>
                <w:szCs w:val="20"/>
                <w:lang w:eastAsia="el-GR"/>
              </w:rPr>
              <w:t>Μαθηματικά αποθέματα και τεχνικές ασφαλιστικές προβλέψεις</w:t>
            </w:r>
          </w:p>
        </w:tc>
        <w:tc>
          <w:tcPr>
            <w:tcW w:w="724" w:type="pct"/>
            <w:tcBorders>
              <w:top w:val="nil"/>
              <w:left w:val="nil"/>
              <w:bottom w:val="nil"/>
              <w:right w:val="nil"/>
            </w:tcBorders>
            <w:shd w:val="clear" w:color="auto" w:fill="F2F2F2"/>
            <w:tcMar>
              <w:top w:w="15" w:type="dxa"/>
              <w:left w:w="15" w:type="dxa"/>
              <w:bottom w:w="0" w:type="dxa"/>
              <w:right w:w="15" w:type="dxa"/>
            </w:tcMar>
            <w:vAlign w:val="center"/>
            <w:hideMark/>
          </w:tcPr>
          <w:p w14:paraId="0C863505" w14:textId="77777777" w:rsidR="009568A3" w:rsidRPr="009568A3" w:rsidRDefault="009568A3" w:rsidP="00141EE4">
            <w:pPr>
              <w:spacing w:after="0" w:line="240" w:lineRule="auto"/>
              <w:ind w:left="274"/>
              <w:jc w:val="center"/>
              <w:textAlignment w:val="center"/>
              <w:rPr>
                <w:rFonts w:asciiTheme="majorHAnsi" w:eastAsia="Times New Roman" w:hAnsiTheme="majorHAnsi" w:cstheme="majorHAnsi"/>
                <w:sz w:val="20"/>
                <w:szCs w:val="20"/>
                <w:lang w:eastAsia="el-GR"/>
              </w:rPr>
            </w:pPr>
            <w:r w:rsidRPr="009568A3">
              <w:rPr>
                <w:rFonts w:asciiTheme="majorHAnsi" w:eastAsia="Times New Roman" w:hAnsiTheme="majorHAnsi" w:cstheme="majorHAnsi"/>
                <w:color w:val="262626"/>
                <w:sz w:val="20"/>
                <w:szCs w:val="20"/>
                <w:lang w:eastAsia="el-GR"/>
              </w:rPr>
              <w:t>335.602</w:t>
            </w:r>
          </w:p>
        </w:tc>
        <w:tc>
          <w:tcPr>
            <w:tcW w:w="797" w:type="pct"/>
            <w:tcBorders>
              <w:top w:val="nil"/>
              <w:left w:val="nil"/>
              <w:bottom w:val="nil"/>
              <w:right w:val="nil"/>
            </w:tcBorders>
            <w:shd w:val="clear" w:color="auto" w:fill="F2F2F2"/>
            <w:tcMar>
              <w:top w:w="15" w:type="dxa"/>
              <w:left w:w="15" w:type="dxa"/>
              <w:bottom w:w="0" w:type="dxa"/>
              <w:right w:w="15" w:type="dxa"/>
            </w:tcMar>
            <w:vAlign w:val="center"/>
            <w:hideMark/>
          </w:tcPr>
          <w:p w14:paraId="13ACB678" w14:textId="77777777" w:rsidR="009568A3" w:rsidRPr="009568A3" w:rsidRDefault="009568A3" w:rsidP="00141EE4">
            <w:pPr>
              <w:spacing w:after="0" w:line="240" w:lineRule="auto"/>
              <w:ind w:left="274"/>
              <w:jc w:val="center"/>
              <w:textAlignment w:val="center"/>
              <w:rPr>
                <w:rFonts w:asciiTheme="majorHAnsi" w:eastAsia="Times New Roman" w:hAnsiTheme="majorHAnsi" w:cstheme="majorHAnsi"/>
                <w:sz w:val="20"/>
                <w:szCs w:val="20"/>
                <w:lang w:eastAsia="el-GR"/>
              </w:rPr>
            </w:pPr>
            <w:r w:rsidRPr="009568A3">
              <w:rPr>
                <w:rFonts w:asciiTheme="majorHAnsi" w:eastAsia="Times New Roman" w:hAnsiTheme="majorHAnsi" w:cstheme="majorHAnsi"/>
                <w:color w:val="262626"/>
                <w:sz w:val="20"/>
                <w:szCs w:val="20"/>
                <w:lang w:eastAsia="el-GR"/>
              </w:rPr>
              <w:t>312.888</w:t>
            </w:r>
          </w:p>
        </w:tc>
        <w:tc>
          <w:tcPr>
            <w:tcW w:w="870" w:type="pct"/>
            <w:tcBorders>
              <w:top w:val="nil"/>
              <w:left w:val="nil"/>
              <w:bottom w:val="nil"/>
              <w:right w:val="nil"/>
            </w:tcBorders>
            <w:shd w:val="clear" w:color="auto" w:fill="F2F2F2"/>
            <w:tcMar>
              <w:top w:w="15" w:type="dxa"/>
              <w:left w:w="15" w:type="dxa"/>
              <w:bottom w:w="0" w:type="dxa"/>
              <w:right w:w="15" w:type="dxa"/>
            </w:tcMar>
            <w:vAlign w:val="center"/>
            <w:hideMark/>
          </w:tcPr>
          <w:p w14:paraId="63E0CF2A" w14:textId="07973E26" w:rsidR="009568A3" w:rsidRPr="0068129F" w:rsidRDefault="009568A3" w:rsidP="0039276D">
            <w:pPr>
              <w:spacing w:after="0" w:line="240" w:lineRule="auto"/>
              <w:jc w:val="center"/>
              <w:textAlignment w:val="center"/>
              <w:rPr>
                <w:rFonts w:asciiTheme="majorHAnsi" w:eastAsia="Times New Roman" w:hAnsiTheme="majorHAnsi" w:cstheme="majorHAnsi"/>
                <w:color w:val="000000" w:themeColor="text1"/>
                <w:sz w:val="20"/>
                <w:szCs w:val="20"/>
                <w:lang w:eastAsia="el-GR"/>
              </w:rPr>
            </w:pPr>
            <w:r w:rsidRPr="0068129F">
              <w:rPr>
                <w:rFonts w:asciiTheme="majorHAnsi" w:eastAsia="Times New Roman" w:hAnsiTheme="majorHAnsi" w:cstheme="majorHAnsi"/>
                <w:color w:val="000000" w:themeColor="text1"/>
                <w:sz w:val="20"/>
                <w:szCs w:val="20"/>
                <w:lang w:eastAsia="el-GR"/>
              </w:rPr>
              <w:t>7,3%</w:t>
            </w:r>
          </w:p>
        </w:tc>
      </w:tr>
      <w:tr w:rsidR="0039276D" w:rsidRPr="009568A3" w14:paraId="6C04B353" w14:textId="77777777" w:rsidTr="00E14FC9">
        <w:trPr>
          <w:trHeight w:val="416"/>
        </w:trPr>
        <w:tc>
          <w:tcPr>
            <w:tcW w:w="2609" w:type="pct"/>
            <w:tcBorders>
              <w:top w:val="nil"/>
              <w:left w:val="nil"/>
              <w:bottom w:val="single" w:sz="4" w:space="0" w:color="2E74B5" w:themeColor="accent5" w:themeShade="BF"/>
              <w:right w:val="nil"/>
            </w:tcBorders>
            <w:shd w:val="clear" w:color="auto" w:fill="F2F2F2"/>
            <w:tcMar>
              <w:top w:w="15" w:type="dxa"/>
              <w:left w:w="283" w:type="dxa"/>
              <w:bottom w:w="0" w:type="dxa"/>
              <w:right w:w="15" w:type="dxa"/>
            </w:tcMar>
            <w:vAlign w:val="center"/>
            <w:hideMark/>
          </w:tcPr>
          <w:p w14:paraId="22DD6EF3" w14:textId="77777777" w:rsidR="009568A3" w:rsidRPr="009568A3" w:rsidRDefault="009568A3" w:rsidP="0039276D">
            <w:pPr>
              <w:spacing w:after="0" w:line="240" w:lineRule="auto"/>
              <w:textAlignment w:val="center"/>
              <w:rPr>
                <w:rFonts w:asciiTheme="majorHAnsi" w:eastAsia="Times New Roman" w:hAnsiTheme="majorHAnsi" w:cstheme="majorHAnsi"/>
                <w:sz w:val="20"/>
                <w:szCs w:val="20"/>
                <w:lang w:eastAsia="el-GR"/>
              </w:rPr>
            </w:pPr>
            <w:r w:rsidRPr="009568A3">
              <w:rPr>
                <w:rFonts w:asciiTheme="majorHAnsi" w:eastAsiaTheme="minorEastAsia" w:hAnsiTheme="majorHAnsi" w:cstheme="majorHAnsi"/>
                <w:color w:val="262626" w:themeColor="text1" w:themeTint="D9"/>
                <w:kern w:val="24"/>
                <w:sz w:val="20"/>
                <w:szCs w:val="20"/>
                <w:lang w:eastAsia="el-GR"/>
              </w:rPr>
              <w:t>Σύνολο Ιδίων Κεφαλαίων</w:t>
            </w:r>
          </w:p>
        </w:tc>
        <w:tc>
          <w:tcPr>
            <w:tcW w:w="724" w:type="pct"/>
            <w:tcBorders>
              <w:top w:val="nil"/>
              <w:left w:val="nil"/>
              <w:bottom w:val="single" w:sz="4" w:space="0" w:color="2E74B5" w:themeColor="accent5" w:themeShade="BF"/>
              <w:right w:val="nil"/>
            </w:tcBorders>
            <w:shd w:val="clear" w:color="auto" w:fill="F2F2F2"/>
            <w:tcMar>
              <w:top w:w="15" w:type="dxa"/>
              <w:left w:w="15" w:type="dxa"/>
              <w:bottom w:w="0" w:type="dxa"/>
              <w:right w:w="15" w:type="dxa"/>
            </w:tcMar>
            <w:vAlign w:val="center"/>
            <w:hideMark/>
          </w:tcPr>
          <w:p w14:paraId="23F612A2" w14:textId="77777777" w:rsidR="009568A3" w:rsidRPr="009568A3" w:rsidRDefault="009568A3" w:rsidP="00141EE4">
            <w:pPr>
              <w:spacing w:after="0" w:line="240" w:lineRule="auto"/>
              <w:ind w:left="274"/>
              <w:jc w:val="center"/>
              <w:textAlignment w:val="center"/>
              <w:rPr>
                <w:rFonts w:asciiTheme="majorHAnsi" w:eastAsia="Times New Roman" w:hAnsiTheme="majorHAnsi" w:cstheme="majorHAnsi"/>
                <w:sz w:val="20"/>
                <w:szCs w:val="20"/>
                <w:lang w:eastAsia="el-GR"/>
              </w:rPr>
            </w:pPr>
            <w:r w:rsidRPr="009568A3">
              <w:rPr>
                <w:rFonts w:asciiTheme="majorHAnsi" w:eastAsia="Times New Roman" w:hAnsiTheme="majorHAnsi" w:cstheme="majorHAnsi"/>
                <w:color w:val="262626"/>
                <w:sz w:val="20"/>
                <w:szCs w:val="20"/>
                <w:lang w:eastAsia="el-GR"/>
              </w:rPr>
              <w:t>153.202</w:t>
            </w:r>
          </w:p>
        </w:tc>
        <w:tc>
          <w:tcPr>
            <w:tcW w:w="797" w:type="pct"/>
            <w:tcBorders>
              <w:top w:val="nil"/>
              <w:left w:val="nil"/>
              <w:bottom w:val="single" w:sz="4" w:space="0" w:color="2E74B5" w:themeColor="accent5" w:themeShade="BF"/>
              <w:right w:val="nil"/>
            </w:tcBorders>
            <w:shd w:val="clear" w:color="auto" w:fill="F2F2F2"/>
            <w:tcMar>
              <w:top w:w="15" w:type="dxa"/>
              <w:left w:w="15" w:type="dxa"/>
              <w:bottom w:w="0" w:type="dxa"/>
              <w:right w:w="15" w:type="dxa"/>
            </w:tcMar>
            <w:vAlign w:val="center"/>
            <w:hideMark/>
          </w:tcPr>
          <w:p w14:paraId="323586BA" w14:textId="77777777" w:rsidR="009568A3" w:rsidRPr="009568A3" w:rsidRDefault="009568A3" w:rsidP="00141EE4">
            <w:pPr>
              <w:spacing w:after="0" w:line="240" w:lineRule="auto"/>
              <w:ind w:left="274"/>
              <w:jc w:val="center"/>
              <w:textAlignment w:val="center"/>
              <w:rPr>
                <w:rFonts w:asciiTheme="majorHAnsi" w:eastAsia="Times New Roman" w:hAnsiTheme="majorHAnsi" w:cstheme="majorHAnsi"/>
                <w:sz w:val="20"/>
                <w:szCs w:val="20"/>
                <w:lang w:eastAsia="el-GR"/>
              </w:rPr>
            </w:pPr>
            <w:r w:rsidRPr="009568A3">
              <w:rPr>
                <w:rFonts w:asciiTheme="majorHAnsi" w:eastAsia="Times New Roman" w:hAnsiTheme="majorHAnsi" w:cstheme="majorHAnsi"/>
                <w:color w:val="262626"/>
                <w:sz w:val="20"/>
                <w:szCs w:val="20"/>
                <w:lang w:eastAsia="el-GR"/>
              </w:rPr>
              <w:t>153.982</w:t>
            </w:r>
          </w:p>
        </w:tc>
        <w:tc>
          <w:tcPr>
            <w:tcW w:w="870" w:type="pct"/>
            <w:tcBorders>
              <w:top w:val="nil"/>
              <w:left w:val="nil"/>
              <w:bottom w:val="single" w:sz="4" w:space="0" w:color="2E74B5" w:themeColor="accent5" w:themeShade="BF"/>
              <w:right w:val="nil"/>
            </w:tcBorders>
            <w:shd w:val="clear" w:color="auto" w:fill="F2F2F2"/>
            <w:tcMar>
              <w:top w:w="15" w:type="dxa"/>
              <w:left w:w="15" w:type="dxa"/>
              <w:bottom w:w="0" w:type="dxa"/>
              <w:right w:w="15" w:type="dxa"/>
            </w:tcMar>
            <w:vAlign w:val="center"/>
            <w:hideMark/>
          </w:tcPr>
          <w:p w14:paraId="4A7E580C" w14:textId="2EFE19BE" w:rsidR="009568A3" w:rsidRPr="0068129F" w:rsidRDefault="009568A3" w:rsidP="0039276D">
            <w:pPr>
              <w:spacing w:after="0" w:line="240" w:lineRule="auto"/>
              <w:jc w:val="center"/>
              <w:textAlignment w:val="center"/>
              <w:rPr>
                <w:rFonts w:asciiTheme="majorHAnsi" w:eastAsia="Times New Roman" w:hAnsiTheme="majorHAnsi" w:cstheme="majorHAnsi"/>
                <w:color w:val="000000" w:themeColor="text1"/>
                <w:sz w:val="20"/>
                <w:szCs w:val="20"/>
                <w:lang w:eastAsia="el-GR"/>
              </w:rPr>
            </w:pPr>
            <w:r w:rsidRPr="0068129F">
              <w:rPr>
                <w:rFonts w:asciiTheme="majorHAnsi" w:eastAsia="Times New Roman" w:hAnsiTheme="majorHAnsi" w:cstheme="majorHAnsi"/>
                <w:color w:val="000000" w:themeColor="text1"/>
                <w:sz w:val="20"/>
                <w:szCs w:val="20"/>
                <w:lang w:eastAsia="el-GR"/>
              </w:rPr>
              <w:t>-</w:t>
            </w:r>
            <w:r w:rsidR="0068129F">
              <w:rPr>
                <w:rFonts w:asciiTheme="majorHAnsi" w:eastAsia="Times New Roman" w:hAnsiTheme="majorHAnsi" w:cstheme="majorHAnsi"/>
                <w:color w:val="000000" w:themeColor="text1"/>
                <w:sz w:val="20"/>
                <w:szCs w:val="20"/>
                <w:lang w:val="en-US" w:eastAsia="el-GR"/>
              </w:rPr>
              <w:t xml:space="preserve"> </w:t>
            </w:r>
            <w:r w:rsidRPr="0068129F">
              <w:rPr>
                <w:rFonts w:asciiTheme="majorHAnsi" w:eastAsia="Times New Roman" w:hAnsiTheme="majorHAnsi" w:cstheme="majorHAnsi"/>
                <w:color w:val="000000" w:themeColor="text1"/>
                <w:sz w:val="20"/>
                <w:szCs w:val="20"/>
                <w:lang w:eastAsia="el-GR"/>
              </w:rPr>
              <w:t>0,5%</w:t>
            </w:r>
          </w:p>
        </w:tc>
      </w:tr>
      <w:tr w:rsidR="0039276D" w:rsidRPr="009568A3" w14:paraId="7C1F91E8" w14:textId="77777777" w:rsidTr="00E14FC9">
        <w:trPr>
          <w:trHeight w:val="562"/>
        </w:trPr>
        <w:tc>
          <w:tcPr>
            <w:tcW w:w="2609" w:type="pct"/>
            <w:tcBorders>
              <w:top w:val="single" w:sz="4" w:space="0" w:color="2E74B5" w:themeColor="accent5" w:themeShade="BF"/>
              <w:left w:val="nil"/>
              <w:bottom w:val="nil"/>
              <w:right w:val="nil"/>
            </w:tcBorders>
            <w:shd w:val="clear" w:color="auto" w:fill="auto"/>
            <w:tcMar>
              <w:top w:w="15" w:type="dxa"/>
              <w:left w:w="283" w:type="dxa"/>
              <w:bottom w:w="0" w:type="dxa"/>
              <w:right w:w="15" w:type="dxa"/>
            </w:tcMar>
            <w:vAlign w:val="center"/>
            <w:hideMark/>
          </w:tcPr>
          <w:p w14:paraId="0B6077BC" w14:textId="77777777" w:rsidR="009568A3" w:rsidRPr="009568A3" w:rsidRDefault="009568A3" w:rsidP="0039276D">
            <w:pPr>
              <w:spacing w:after="0" w:line="240" w:lineRule="auto"/>
              <w:textAlignment w:val="bottom"/>
              <w:rPr>
                <w:rFonts w:asciiTheme="majorHAnsi" w:eastAsia="Times New Roman" w:hAnsiTheme="majorHAnsi" w:cstheme="majorHAnsi"/>
                <w:sz w:val="20"/>
                <w:szCs w:val="20"/>
                <w:lang w:eastAsia="el-GR"/>
              </w:rPr>
            </w:pPr>
            <w:r w:rsidRPr="009568A3">
              <w:rPr>
                <w:rFonts w:asciiTheme="majorHAnsi" w:eastAsiaTheme="minorEastAsia" w:hAnsiTheme="majorHAnsi" w:cstheme="majorHAnsi"/>
                <w:b/>
                <w:bCs/>
                <w:color w:val="262626" w:themeColor="text1" w:themeTint="D9"/>
                <w:kern w:val="24"/>
                <w:sz w:val="20"/>
                <w:szCs w:val="20"/>
                <w:lang w:eastAsia="el-GR"/>
              </w:rPr>
              <w:t>Απόδοση Ιδίων Κεφαλαίων προ Φόρων (ROE) (</w:t>
            </w:r>
            <w:proofErr w:type="spellStart"/>
            <w:r w:rsidRPr="009568A3">
              <w:rPr>
                <w:rFonts w:asciiTheme="majorHAnsi" w:eastAsiaTheme="minorEastAsia" w:hAnsiTheme="majorHAnsi" w:cstheme="majorHAnsi"/>
                <w:b/>
                <w:bCs/>
                <w:color w:val="262626" w:themeColor="text1" w:themeTint="D9"/>
                <w:kern w:val="24"/>
                <w:sz w:val="20"/>
                <w:szCs w:val="20"/>
                <w:lang w:eastAsia="el-GR"/>
              </w:rPr>
              <w:t>ετησιοποιημένο</w:t>
            </w:r>
            <w:proofErr w:type="spellEnd"/>
            <w:r w:rsidRPr="009568A3">
              <w:rPr>
                <w:rFonts w:asciiTheme="majorHAnsi" w:eastAsiaTheme="minorEastAsia" w:hAnsiTheme="majorHAnsi" w:cstheme="majorHAnsi"/>
                <w:b/>
                <w:bCs/>
                <w:color w:val="262626" w:themeColor="text1" w:themeTint="D9"/>
                <w:kern w:val="24"/>
                <w:sz w:val="20"/>
                <w:szCs w:val="20"/>
                <w:lang w:eastAsia="el-GR"/>
              </w:rPr>
              <w:t>)</w:t>
            </w:r>
          </w:p>
        </w:tc>
        <w:tc>
          <w:tcPr>
            <w:tcW w:w="724" w:type="pct"/>
            <w:tcBorders>
              <w:top w:val="single" w:sz="4" w:space="0" w:color="2E74B5" w:themeColor="accent5" w:themeShade="BF"/>
              <w:left w:val="nil"/>
              <w:bottom w:val="nil"/>
              <w:right w:val="nil"/>
            </w:tcBorders>
            <w:shd w:val="clear" w:color="auto" w:fill="auto"/>
            <w:tcMar>
              <w:top w:w="15" w:type="dxa"/>
              <w:left w:w="15" w:type="dxa"/>
              <w:bottom w:w="0" w:type="dxa"/>
              <w:right w:w="15" w:type="dxa"/>
            </w:tcMar>
            <w:vAlign w:val="center"/>
            <w:hideMark/>
          </w:tcPr>
          <w:p w14:paraId="0EDE0F16" w14:textId="77777777" w:rsidR="009568A3" w:rsidRPr="009568A3" w:rsidRDefault="009568A3" w:rsidP="00141EE4">
            <w:pPr>
              <w:spacing w:after="0" w:line="240" w:lineRule="auto"/>
              <w:ind w:left="274"/>
              <w:jc w:val="center"/>
              <w:textAlignment w:val="center"/>
              <w:rPr>
                <w:rFonts w:asciiTheme="majorHAnsi" w:eastAsia="Times New Roman" w:hAnsiTheme="majorHAnsi" w:cstheme="majorHAnsi"/>
                <w:sz w:val="20"/>
                <w:szCs w:val="20"/>
                <w:lang w:eastAsia="el-GR"/>
              </w:rPr>
            </w:pPr>
            <w:r w:rsidRPr="009568A3">
              <w:rPr>
                <w:rFonts w:asciiTheme="majorHAnsi" w:eastAsia="Times New Roman" w:hAnsiTheme="majorHAnsi" w:cstheme="majorHAnsi"/>
                <w:b/>
                <w:bCs/>
                <w:color w:val="262626"/>
                <w:sz w:val="20"/>
                <w:szCs w:val="20"/>
                <w:lang w:eastAsia="el-GR"/>
              </w:rPr>
              <w:t>13,5%</w:t>
            </w:r>
          </w:p>
        </w:tc>
        <w:tc>
          <w:tcPr>
            <w:tcW w:w="797" w:type="pct"/>
            <w:tcBorders>
              <w:top w:val="single" w:sz="4" w:space="0" w:color="2E74B5" w:themeColor="accent5" w:themeShade="BF"/>
              <w:left w:val="nil"/>
              <w:bottom w:val="nil"/>
              <w:right w:val="nil"/>
            </w:tcBorders>
            <w:shd w:val="clear" w:color="auto" w:fill="auto"/>
            <w:tcMar>
              <w:top w:w="15" w:type="dxa"/>
              <w:left w:w="15" w:type="dxa"/>
              <w:bottom w:w="0" w:type="dxa"/>
              <w:right w:w="15" w:type="dxa"/>
            </w:tcMar>
            <w:vAlign w:val="center"/>
            <w:hideMark/>
          </w:tcPr>
          <w:p w14:paraId="77F583C6" w14:textId="77777777" w:rsidR="009568A3" w:rsidRPr="009568A3" w:rsidRDefault="009568A3" w:rsidP="00141EE4">
            <w:pPr>
              <w:spacing w:after="0" w:line="240" w:lineRule="auto"/>
              <w:ind w:left="274"/>
              <w:jc w:val="center"/>
              <w:textAlignment w:val="center"/>
              <w:rPr>
                <w:rFonts w:asciiTheme="majorHAnsi" w:eastAsia="Times New Roman" w:hAnsiTheme="majorHAnsi" w:cstheme="majorHAnsi"/>
                <w:sz w:val="20"/>
                <w:szCs w:val="20"/>
                <w:lang w:eastAsia="el-GR"/>
              </w:rPr>
            </w:pPr>
            <w:r w:rsidRPr="009568A3">
              <w:rPr>
                <w:rFonts w:asciiTheme="majorHAnsi" w:eastAsia="Times New Roman" w:hAnsiTheme="majorHAnsi" w:cstheme="majorHAnsi"/>
                <w:b/>
                <w:bCs/>
                <w:color w:val="262626"/>
                <w:sz w:val="20"/>
                <w:szCs w:val="20"/>
                <w:lang w:eastAsia="el-GR"/>
              </w:rPr>
              <w:t>17,1%</w:t>
            </w:r>
          </w:p>
        </w:tc>
        <w:tc>
          <w:tcPr>
            <w:tcW w:w="870" w:type="pct"/>
            <w:tcBorders>
              <w:top w:val="single" w:sz="4" w:space="0" w:color="2E74B5" w:themeColor="accent5" w:themeShade="BF"/>
              <w:left w:val="nil"/>
              <w:bottom w:val="nil"/>
              <w:right w:val="nil"/>
            </w:tcBorders>
            <w:shd w:val="clear" w:color="auto" w:fill="auto"/>
            <w:tcMar>
              <w:top w:w="15" w:type="dxa"/>
              <w:left w:w="15" w:type="dxa"/>
              <w:bottom w:w="0" w:type="dxa"/>
              <w:right w:w="15" w:type="dxa"/>
            </w:tcMar>
            <w:vAlign w:val="center"/>
            <w:hideMark/>
          </w:tcPr>
          <w:p w14:paraId="20CD3965" w14:textId="3E03CB0E" w:rsidR="009568A3" w:rsidRPr="0068129F" w:rsidRDefault="0068129F" w:rsidP="0039276D">
            <w:pPr>
              <w:spacing w:after="0" w:line="240" w:lineRule="auto"/>
              <w:jc w:val="center"/>
              <w:textAlignment w:val="center"/>
              <w:rPr>
                <w:rFonts w:asciiTheme="majorHAnsi" w:eastAsia="Times New Roman" w:hAnsiTheme="majorHAnsi" w:cstheme="majorHAnsi"/>
                <w:color w:val="000000" w:themeColor="text1"/>
                <w:sz w:val="20"/>
                <w:szCs w:val="20"/>
                <w:lang w:eastAsia="el-GR"/>
              </w:rPr>
            </w:pPr>
            <w:r>
              <w:rPr>
                <w:rFonts w:asciiTheme="majorHAnsi" w:eastAsia="Times New Roman" w:hAnsiTheme="majorHAnsi" w:cstheme="majorHAnsi"/>
                <w:b/>
                <w:bCs/>
                <w:color w:val="000000" w:themeColor="text1"/>
                <w:sz w:val="20"/>
                <w:szCs w:val="20"/>
                <w:lang w:val="en-US" w:eastAsia="el-GR"/>
              </w:rPr>
              <w:t xml:space="preserve">- </w:t>
            </w:r>
            <w:r w:rsidR="009568A3" w:rsidRPr="0068129F">
              <w:rPr>
                <w:rFonts w:asciiTheme="majorHAnsi" w:eastAsia="Times New Roman" w:hAnsiTheme="majorHAnsi" w:cstheme="majorHAnsi"/>
                <w:b/>
                <w:bCs/>
                <w:color w:val="000000" w:themeColor="text1"/>
                <w:sz w:val="20"/>
                <w:szCs w:val="20"/>
                <w:lang w:eastAsia="el-GR"/>
              </w:rPr>
              <w:t>3,6 π.μ.</w:t>
            </w:r>
          </w:p>
        </w:tc>
      </w:tr>
      <w:tr w:rsidR="0039276D" w:rsidRPr="009568A3" w14:paraId="66F0E564" w14:textId="77777777" w:rsidTr="00E14FC9">
        <w:trPr>
          <w:trHeight w:val="421"/>
        </w:trPr>
        <w:tc>
          <w:tcPr>
            <w:tcW w:w="2609" w:type="pct"/>
            <w:tcBorders>
              <w:top w:val="nil"/>
              <w:left w:val="nil"/>
              <w:bottom w:val="nil"/>
              <w:right w:val="nil"/>
            </w:tcBorders>
            <w:shd w:val="clear" w:color="auto" w:fill="auto"/>
            <w:tcMar>
              <w:top w:w="15" w:type="dxa"/>
              <w:left w:w="283" w:type="dxa"/>
              <w:bottom w:w="0" w:type="dxa"/>
              <w:right w:w="15" w:type="dxa"/>
            </w:tcMar>
            <w:vAlign w:val="center"/>
            <w:hideMark/>
          </w:tcPr>
          <w:p w14:paraId="622D76A7" w14:textId="77777777" w:rsidR="009568A3" w:rsidRPr="009568A3" w:rsidRDefault="009568A3" w:rsidP="0039276D">
            <w:pPr>
              <w:spacing w:after="0" w:line="240" w:lineRule="auto"/>
              <w:textAlignment w:val="center"/>
              <w:rPr>
                <w:rFonts w:asciiTheme="majorHAnsi" w:eastAsia="Times New Roman" w:hAnsiTheme="majorHAnsi" w:cstheme="majorHAnsi"/>
                <w:sz w:val="20"/>
                <w:szCs w:val="20"/>
                <w:lang w:eastAsia="el-GR"/>
              </w:rPr>
            </w:pPr>
            <w:r w:rsidRPr="009568A3">
              <w:rPr>
                <w:rFonts w:asciiTheme="majorHAnsi" w:eastAsiaTheme="minorEastAsia" w:hAnsiTheme="majorHAnsi" w:cstheme="majorHAnsi"/>
                <w:b/>
                <w:bCs/>
                <w:color w:val="262626" w:themeColor="text1" w:themeTint="D9"/>
                <w:kern w:val="24"/>
                <w:sz w:val="20"/>
                <w:szCs w:val="20"/>
                <w:lang w:eastAsia="el-GR"/>
              </w:rPr>
              <w:t>Απόδοση Περιουσιακών στοιχείων προ Φόρων (ROA) (</w:t>
            </w:r>
            <w:proofErr w:type="spellStart"/>
            <w:r w:rsidRPr="009568A3">
              <w:rPr>
                <w:rFonts w:asciiTheme="majorHAnsi" w:eastAsiaTheme="minorEastAsia" w:hAnsiTheme="majorHAnsi" w:cstheme="majorHAnsi"/>
                <w:b/>
                <w:bCs/>
                <w:color w:val="262626" w:themeColor="text1" w:themeTint="D9"/>
                <w:kern w:val="24"/>
                <w:sz w:val="20"/>
                <w:szCs w:val="20"/>
                <w:lang w:eastAsia="el-GR"/>
              </w:rPr>
              <w:t>ετησιοποιημένο</w:t>
            </w:r>
            <w:proofErr w:type="spellEnd"/>
            <w:r w:rsidRPr="009568A3">
              <w:rPr>
                <w:rFonts w:asciiTheme="majorHAnsi" w:eastAsiaTheme="minorEastAsia" w:hAnsiTheme="majorHAnsi" w:cstheme="majorHAnsi"/>
                <w:b/>
                <w:bCs/>
                <w:color w:val="262626" w:themeColor="text1" w:themeTint="D9"/>
                <w:kern w:val="24"/>
                <w:sz w:val="20"/>
                <w:szCs w:val="20"/>
                <w:lang w:eastAsia="el-GR"/>
              </w:rPr>
              <w:t>)</w:t>
            </w:r>
          </w:p>
        </w:tc>
        <w:tc>
          <w:tcPr>
            <w:tcW w:w="724" w:type="pct"/>
            <w:tcBorders>
              <w:top w:val="nil"/>
              <w:left w:val="nil"/>
              <w:bottom w:val="nil"/>
              <w:right w:val="nil"/>
            </w:tcBorders>
            <w:shd w:val="clear" w:color="auto" w:fill="auto"/>
            <w:tcMar>
              <w:top w:w="15" w:type="dxa"/>
              <w:left w:w="15" w:type="dxa"/>
              <w:bottom w:w="0" w:type="dxa"/>
              <w:right w:w="15" w:type="dxa"/>
            </w:tcMar>
            <w:vAlign w:val="center"/>
            <w:hideMark/>
          </w:tcPr>
          <w:p w14:paraId="052DCACD" w14:textId="77777777" w:rsidR="009568A3" w:rsidRPr="009568A3" w:rsidRDefault="009568A3" w:rsidP="00141EE4">
            <w:pPr>
              <w:spacing w:after="0" w:line="240" w:lineRule="auto"/>
              <w:ind w:left="274"/>
              <w:jc w:val="center"/>
              <w:textAlignment w:val="center"/>
              <w:rPr>
                <w:rFonts w:asciiTheme="majorHAnsi" w:eastAsia="Times New Roman" w:hAnsiTheme="majorHAnsi" w:cstheme="majorHAnsi"/>
                <w:sz w:val="20"/>
                <w:szCs w:val="20"/>
                <w:lang w:eastAsia="el-GR"/>
              </w:rPr>
            </w:pPr>
            <w:r w:rsidRPr="009568A3">
              <w:rPr>
                <w:rFonts w:asciiTheme="majorHAnsi" w:eastAsia="Times New Roman" w:hAnsiTheme="majorHAnsi" w:cstheme="majorHAnsi"/>
                <w:b/>
                <w:bCs/>
                <w:color w:val="262626"/>
                <w:sz w:val="20"/>
                <w:szCs w:val="20"/>
                <w:lang w:eastAsia="el-GR"/>
              </w:rPr>
              <w:t>4,1%</w:t>
            </w:r>
          </w:p>
        </w:tc>
        <w:tc>
          <w:tcPr>
            <w:tcW w:w="797" w:type="pct"/>
            <w:tcBorders>
              <w:top w:val="nil"/>
              <w:left w:val="nil"/>
              <w:bottom w:val="nil"/>
              <w:right w:val="nil"/>
            </w:tcBorders>
            <w:shd w:val="clear" w:color="auto" w:fill="auto"/>
            <w:tcMar>
              <w:top w:w="15" w:type="dxa"/>
              <w:left w:w="15" w:type="dxa"/>
              <w:bottom w:w="0" w:type="dxa"/>
              <w:right w:w="15" w:type="dxa"/>
            </w:tcMar>
            <w:vAlign w:val="center"/>
            <w:hideMark/>
          </w:tcPr>
          <w:p w14:paraId="48C9BDB0" w14:textId="77777777" w:rsidR="009568A3" w:rsidRPr="009568A3" w:rsidRDefault="009568A3" w:rsidP="00141EE4">
            <w:pPr>
              <w:spacing w:after="0" w:line="240" w:lineRule="auto"/>
              <w:ind w:left="274"/>
              <w:jc w:val="center"/>
              <w:textAlignment w:val="center"/>
              <w:rPr>
                <w:rFonts w:asciiTheme="majorHAnsi" w:eastAsia="Times New Roman" w:hAnsiTheme="majorHAnsi" w:cstheme="majorHAnsi"/>
                <w:sz w:val="20"/>
                <w:szCs w:val="20"/>
                <w:lang w:eastAsia="el-GR"/>
              </w:rPr>
            </w:pPr>
            <w:r w:rsidRPr="009568A3">
              <w:rPr>
                <w:rFonts w:asciiTheme="majorHAnsi" w:eastAsia="Times New Roman" w:hAnsiTheme="majorHAnsi" w:cstheme="majorHAnsi"/>
                <w:b/>
                <w:bCs/>
                <w:color w:val="262626"/>
                <w:sz w:val="20"/>
                <w:szCs w:val="20"/>
                <w:lang w:eastAsia="el-GR"/>
              </w:rPr>
              <w:t>5,0%</w:t>
            </w:r>
          </w:p>
        </w:tc>
        <w:tc>
          <w:tcPr>
            <w:tcW w:w="870" w:type="pct"/>
            <w:tcBorders>
              <w:top w:val="nil"/>
              <w:left w:val="nil"/>
              <w:bottom w:val="nil"/>
              <w:right w:val="nil"/>
            </w:tcBorders>
            <w:shd w:val="clear" w:color="auto" w:fill="auto"/>
            <w:tcMar>
              <w:top w:w="15" w:type="dxa"/>
              <w:left w:w="15" w:type="dxa"/>
              <w:bottom w:w="0" w:type="dxa"/>
              <w:right w:w="15" w:type="dxa"/>
            </w:tcMar>
            <w:vAlign w:val="center"/>
            <w:hideMark/>
          </w:tcPr>
          <w:p w14:paraId="7E7EF102" w14:textId="0B41D87E" w:rsidR="009568A3" w:rsidRPr="0068129F" w:rsidRDefault="0068129F" w:rsidP="0039276D">
            <w:pPr>
              <w:spacing w:after="0" w:line="240" w:lineRule="auto"/>
              <w:jc w:val="center"/>
              <w:textAlignment w:val="center"/>
              <w:rPr>
                <w:rFonts w:asciiTheme="majorHAnsi" w:eastAsia="Times New Roman" w:hAnsiTheme="majorHAnsi" w:cstheme="majorHAnsi"/>
                <w:color w:val="000000" w:themeColor="text1"/>
                <w:sz w:val="20"/>
                <w:szCs w:val="20"/>
                <w:lang w:eastAsia="el-GR"/>
              </w:rPr>
            </w:pPr>
            <w:r>
              <w:rPr>
                <w:rFonts w:asciiTheme="majorHAnsi" w:eastAsia="Times New Roman" w:hAnsiTheme="majorHAnsi" w:cstheme="majorHAnsi"/>
                <w:b/>
                <w:bCs/>
                <w:color w:val="000000" w:themeColor="text1"/>
                <w:sz w:val="20"/>
                <w:szCs w:val="20"/>
                <w:lang w:val="en-US" w:eastAsia="el-GR"/>
              </w:rPr>
              <w:t xml:space="preserve">- </w:t>
            </w:r>
            <w:r w:rsidR="009568A3" w:rsidRPr="0068129F">
              <w:rPr>
                <w:rFonts w:asciiTheme="majorHAnsi" w:eastAsia="Times New Roman" w:hAnsiTheme="majorHAnsi" w:cstheme="majorHAnsi"/>
                <w:b/>
                <w:bCs/>
                <w:color w:val="000000" w:themeColor="text1"/>
                <w:sz w:val="20"/>
                <w:szCs w:val="20"/>
                <w:lang w:eastAsia="el-GR"/>
              </w:rPr>
              <w:t>0,9 π.μ.</w:t>
            </w:r>
          </w:p>
        </w:tc>
      </w:tr>
      <w:tr w:rsidR="0039276D" w:rsidRPr="009568A3" w14:paraId="5D427B06" w14:textId="77777777" w:rsidTr="00E14FC9">
        <w:trPr>
          <w:trHeight w:val="471"/>
        </w:trPr>
        <w:tc>
          <w:tcPr>
            <w:tcW w:w="2609" w:type="pct"/>
            <w:tcBorders>
              <w:top w:val="nil"/>
              <w:left w:val="nil"/>
              <w:bottom w:val="single" w:sz="12" w:space="0" w:color="4BAFE1"/>
              <w:right w:val="nil"/>
            </w:tcBorders>
            <w:shd w:val="clear" w:color="auto" w:fill="auto"/>
            <w:tcMar>
              <w:top w:w="15" w:type="dxa"/>
              <w:left w:w="283" w:type="dxa"/>
              <w:bottom w:w="0" w:type="dxa"/>
              <w:right w:w="15" w:type="dxa"/>
            </w:tcMar>
            <w:vAlign w:val="center"/>
            <w:hideMark/>
          </w:tcPr>
          <w:p w14:paraId="429D1D59" w14:textId="77777777" w:rsidR="009568A3" w:rsidRPr="009568A3" w:rsidRDefault="009568A3" w:rsidP="0039276D">
            <w:pPr>
              <w:spacing w:after="0" w:line="240" w:lineRule="auto"/>
              <w:textAlignment w:val="center"/>
              <w:rPr>
                <w:rFonts w:asciiTheme="majorHAnsi" w:eastAsia="Times New Roman" w:hAnsiTheme="majorHAnsi" w:cstheme="majorHAnsi"/>
                <w:sz w:val="20"/>
                <w:szCs w:val="20"/>
                <w:lang w:eastAsia="el-GR"/>
              </w:rPr>
            </w:pPr>
            <w:r w:rsidRPr="009568A3">
              <w:rPr>
                <w:rFonts w:asciiTheme="majorHAnsi" w:eastAsiaTheme="minorEastAsia" w:hAnsiTheme="majorHAnsi" w:cstheme="majorHAnsi"/>
                <w:b/>
                <w:bCs/>
                <w:color w:val="262626" w:themeColor="text1" w:themeTint="D9"/>
                <w:kern w:val="24"/>
                <w:sz w:val="20"/>
                <w:szCs w:val="20"/>
                <w:lang w:eastAsia="el-GR"/>
              </w:rPr>
              <w:t>Περιθώριο Κέρδους προ Φόρων</w:t>
            </w:r>
          </w:p>
        </w:tc>
        <w:tc>
          <w:tcPr>
            <w:tcW w:w="724" w:type="pct"/>
            <w:tcBorders>
              <w:top w:val="nil"/>
              <w:left w:val="nil"/>
              <w:bottom w:val="single" w:sz="12" w:space="0" w:color="4BAFE1"/>
              <w:right w:val="nil"/>
            </w:tcBorders>
            <w:shd w:val="clear" w:color="auto" w:fill="auto"/>
            <w:tcMar>
              <w:top w:w="15" w:type="dxa"/>
              <w:left w:w="15" w:type="dxa"/>
              <w:bottom w:w="0" w:type="dxa"/>
              <w:right w:w="15" w:type="dxa"/>
            </w:tcMar>
            <w:vAlign w:val="center"/>
            <w:hideMark/>
          </w:tcPr>
          <w:p w14:paraId="207BA804" w14:textId="77777777" w:rsidR="009568A3" w:rsidRPr="009568A3" w:rsidRDefault="009568A3" w:rsidP="00141EE4">
            <w:pPr>
              <w:spacing w:after="0" w:line="240" w:lineRule="auto"/>
              <w:ind w:left="274"/>
              <w:jc w:val="center"/>
              <w:textAlignment w:val="center"/>
              <w:rPr>
                <w:rFonts w:asciiTheme="majorHAnsi" w:eastAsia="Times New Roman" w:hAnsiTheme="majorHAnsi" w:cstheme="majorHAnsi"/>
                <w:sz w:val="20"/>
                <w:szCs w:val="20"/>
                <w:lang w:eastAsia="el-GR"/>
              </w:rPr>
            </w:pPr>
            <w:r w:rsidRPr="009568A3">
              <w:rPr>
                <w:rFonts w:asciiTheme="majorHAnsi" w:eastAsia="Times New Roman" w:hAnsiTheme="majorHAnsi" w:cstheme="majorHAnsi"/>
                <w:b/>
                <w:bCs/>
                <w:color w:val="262626"/>
                <w:sz w:val="20"/>
                <w:szCs w:val="20"/>
                <w:lang w:eastAsia="el-GR"/>
              </w:rPr>
              <w:t>8,5%</w:t>
            </w:r>
          </w:p>
        </w:tc>
        <w:tc>
          <w:tcPr>
            <w:tcW w:w="797" w:type="pct"/>
            <w:tcBorders>
              <w:top w:val="nil"/>
              <w:left w:val="nil"/>
              <w:bottom w:val="single" w:sz="12" w:space="0" w:color="4BAFE1"/>
              <w:right w:val="nil"/>
            </w:tcBorders>
            <w:shd w:val="clear" w:color="auto" w:fill="auto"/>
            <w:tcMar>
              <w:top w:w="15" w:type="dxa"/>
              <w:left w:w="15" w:type="dxa"/>
              <w:bottom w:w="0" w:type="dxa"/>
              <w:right w:w="15" w:type="dxa"/>
            </w:tcMar>
            <w:vAlign w:val="center"/>
            <w:hideMark/>
          </w:tcPr>
          <w:p w14:paraId="42E95C46" w14:textId="77777777" w:rsidR="009568A3" w:rsidRPr="009568A3" w:rsidRDefault="009568A3" w:rsidP="00141EE4">
            <w:pPr>
              <w:spacing w:after="0" w:line="240" w:lineRule="auto"/>
              <w:ind w:left="274"/>
              <w:jc w:val="center"/>
              <w:textAlignment w:val="center"/>
              <w:rPr>
                <w:rFonts w:asciiTheme="majorHAnsi" w:eastAsia="Times New Roman" w:hAnsiTheme="majorHAnsi" w:cstheme="majorHAnsi"/>
                <w:sz w:val="20"/>
                <w:szCs w:val="20"/>
                <w:lang w:eastAsia="el-GR"/>
              </w:rPr>
            </w:pPr>
            <w:r w:rsidRPr="009568A3">
              <w:rPr>
                <w:rFonts w:asciiTheme="majorHAnsi" w:eastAsia="Times New Roman" w:hAnsiTheme="majorHAnsi" w:cstheme="majorHAnsi"/>
                <w:b/>
                <w:bCs/>
                <w:color w:val="262626"/>
                <w:sz w:val="20"/>
                <w:szCs w:val="20"/>
                <w:lang w:eastAsia="el-GR"/>
              </w:rPr>
              <w:t>10,9%</w:t>
            </w:r>
          </w:p>
        </w:tc>
        <w:tc>
          <w:tcPr>
            <w:tcW w:w="870" w:type="pct"/>
            <w:tcBorders>
              <w:top w:val="nil"/>
              <w:left w:val="nil"/>
              <w:bottom w:val="single" w:sz="12" w:space="0" w:color="4BAFE1"/>
              <w:right w:val="nil"/>
            </w:tcBorders>
            <w:shd w:val="clear" w:color="auto" w:fill="auto"/>
            <w:tcMar>
              <w:top w:w="15" w:type="dxa"/>
              <w:left w:w="15" w:type="dxa"/>
              <w:bottom w:w="0" w:type="dxa"/>
              <w:right w:w="15" w:type="dxa"/>
            </w:tcMar>
            <w:vAlign w:val="center"/>
            <w:hideMark/>
          </w:tcPr>
          <w:p w14:paraId="0D85B376" w14:textId="651EF7E1" w:rsidR="009568A3" w:rsidRPr="0068129F" w:rsidRDefault="0068129F" w:rsidP="0039276D">
            <w:pPr>
              <w:spacing w:after="0" w:line="240" w:lineRule="auto"/>
              <w:jc w:val="center"/>
              <w:textAlignment w:val="center"/>
              <w:rPr>
                <w:rFonts w:asciiTheme="majorHAnsi" w:eastAsia="Times New Roman" w:hAnsiTheme="majorHAnsi" w:cstheme="majorHAnsi"/>
                <w:color w:val="000000" w:themeColor="text1"/>
                <w:sz w:val="20"/>
                <w:szCs w:val="20"/>
                <w:lang w:eastAsia="el-GR"/>
              </w:rPr>
            </w:pPr>
            <w:r>
              <w:rPr>
                <w:rFonts w:asciiTheme="majorHAnsi" w:eastAsia="Times New Roman" w:hAnsiTheme="majorHAnsi" w:cstheme="majorHAnsi"/>
                <w:b/>
                <w:bCs/>
                <w:color w:val="000000" w:themeColor="text1"/>
                <w:sz w:val="20"/>
                <w:szCs w:val="20"/>
                <w:lang w:val="en-US" w:eastAsia="el-GR"/>
              </w:rPr>
              <w:t xml:space="preserve">- </w:t>
            </w:r>
            <w:r w:rsidR="009568A3" w:rsidRPr="0068129F">
              <w:rPr>
                <w:rFonts w:asciiTheme="majorHAnsi" w:eastAsia="Times New Roman" w:hAnsiTheme="majorHAnsi" w:cstheme="majorHAnsi"/>
                <w:b/>
                <w:bCs/>
                <w:color w:val="000000" w:themeColor="text1"/>
                <w:sz w:val="20"/>
                <w:szCs w:val="20"/>
                <w:lang w:eastAsia="el-GR"/>
              </w:rPr>
              <w:t>2,4 π.μ.</w:t>
            </w:r>
          </w:p>
        </w:tc>
      </w:tr>
    </w:tbl>
    <w:p w14:paraId="12E43DDA" w14:textId="77777777" w:rsidR="009568A3" w:rsidRPr="00756DF8" w:rsidRDefault="009568A3" w:rsidP="00F87003">
      <w:pPr>
        <w:rPr>
          <w:rFonts w:asciiTheme="majorHAnsi" w:eastAsiaTheme="majorEastAsia" w:hAnsiTheme="majorHAnsi" w:cstheme="majorBidi"/>
          <w:sz w:val="24"/>
          <w:szCs w:val="24"/>
        </w:rPr>
      </w:pPr>
    </w:p>
    <w:p w14:paraId="44C9FEF7" w14:textId="6C4416E1" w:rsidR="00F87003" w:rsidRPr="0068129F" w:rsidRDefault="00F87003" w:rsidP="00D05996">
      <w:pPr>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Η Ευρωπαϊκή Πίστη Α.Ε.Γ.Α συνεχίζει να αυξάνει το μερίδιο της στην Ελληνική Ασφαλιστική Αγορά, εκτιμώντας ότι κατέχει πλέον το </w:t>
      </w:r>
      <w:r w:rsidRPr="00756DF8">
        <w:rPr>
          <w:rFonts w:asciiTheme="majorHAnsi" w:eastAsiaTheme="majorEastAsia" w:hAnsiTheme="majorHAnsi" w:cstheme="majorBidi"/>
          <w:b/>
          <w:bCs/>
          <w:sz w:val="24"/>
          <w:szCs w:val="24"/>
        </w:rPr>
        <w:t>5,9%</w:t>
      </w:r>
      <w:r w:rsidRPr="00756DF8">
        <w:rPr>
          <w:rFonts w:asciiTheme="majorHAnsi" w:eastAsiaTheme="majorEastAsia" w:hAnsiTheme="majorHAnsi" w:cstheme="majorBidi"/>
          <w:sz w:val="24"/>
          <w:szCs w:val="24"/>
        </w:rPr>
        <w:t>. Παράλληλα, η Εταιρία παρουσιάζει ρυθμό ανάπτυξης ασφαλίστρων ύψους 4,0% στο εννεάμηνο του 2021</w:t>
      </w:r>
      <w:r w:rsidR="0068129F" w:rsidRPr="0068129F">
        <w:rPr>
          <w:rFonts w:asciiTheme="majorHAnsi" w:eastAsiaTheme="majorEastAsia" w:hAnsiTheme="majorHAnsi" w:cstheme="majorBidi"/>
          <w:sz w:val="24"/>
          <w:szCs w:val="24"/>
        </w:rPr>
        <w:t xml:space="preserve">, </w:t>
      </w:r>
      <w:r w:rsidR="0068129F">
        <w:rPr>
          <w:rFonts w:asciiTheme="majorHAnsi" w:eastAsiaTheme="majorEastAsia" w:hAnsiTheme="majorHAnsi" w:cstheme="majorBidi"/>
          <w:sz w:val="24"/>
          <w:szCs w:val="24"/>
        </w:rPr>
        <w:t>σε σχέση με το αντίστοιχο διάστημα του έτους 2020.</w:t>
      </w:r>
    </w:p>
    <w:p w14:paraId="14472239" w14:textId="25727AC8" w:rsidR="00F87003" w:rsidRPr="00756DF8" w:rsidRDefault="00E14FC9" w:rsidP="00D05996">
      <w:pPr>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Αναφορικά με το</w:t>
      </w:r>
      <w:r w:rsidR="00F87003" w:rsidRPr="00756DF8">
        <w:rPr>
          <w:rFonts w:asciiTheme="majorHAnsi" w:eastAsiaTheme="majorEastAsia" w:hAnsiTheme="majorHAnsi" w:cstheme="majorBidi"/>
          <w:sz w:val="24"/>
          <w:szCs w:val="24"/>
        </w:rPr>
        <w:t xml:space="preserve"> </w:t>
      </w:r>
      <w:r w:rsidR="00F87003" w:rsidRPr="00756DF8">
        <w:rPr>
          <w:rFonts w:asciiTheme="majorHAnsi" w:eastAsiaTheme="majorEastAsia" w:hAnsiTheme="majorHAnsi" w:cstheme="majorBidi"/>
          <w:b/>
          <w:bCs/>
          <w:sz w:val="24"/>
          <w:szCs w:val="24"/>
        </w:rPr>
        <w:t>τρίτο τρίμηνο του 2021</w:t>
      </w:r>
      <w:r w:rsidR="00F87003" w:rsidRPr="00756DF8">
        <w:rPr>
          <w:rFonts w:asciiTheme="majorHAnsi" w:eastAsiaTheme="majorEastAsia" w:hAnsiTheme="majorHAnsi" w:cstheme="majorBidi"/>
          <w:sz w:val="24"/>
          <w:szCs w:val="24"/>
        </w:rPr>
        <w:t>, η Ευρωπαϊκή Πίστη Α.Ε.Γ.Α σημείωσε σημαντική δυναμική τόσο σε επίπεδο κύκλου εργασιών</w:t>
      </w:r>
      <w:r w:rsidR="004D500D">
        <w:rPr>
          <w:rFonts w:asciiTheme="majorHAnsi" w:eastAsiaTheme="majorEastAsia" w:hAnsiTheme="majorHAnsi" w:cstheme="majorBidi"/>
          <w:sz w:val="24"/>
          <w:szCs w:val="24"/>
        </w:rPr>
        <w:t>,</w:t>
      </w:r>
      <w:r w:rsidR="00F87003" w:rsidRPr="00756DF8">
        <w:rPr>
          <w:rFonts w:asciiTheme="majorHAnsi" w:eastAsiaTheme="majorEastAsia" w:hAnsiTheme="majorHAnsi" w:cstheme="majorBidi"/>
          <w:sz w:val="24"/>
          <w:szCs w:val="24"/>
        </w:rPr>
        <w:t xml:space="preserve"> όσο και σε επίπεδο κερδοφορίας.</w:t>
      </w:r>
    </w:p>
    <w:p w14:paraId="07F8AC0B" w14:textId="464DDA6A" w:rsidR="00F87003" w:rsidRPr="00756DF8" w:rsidRDefault="00F87003" w:rsidP="00D05996">
      <w:pPr>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Πιο αναλυτικά, το τρίτο τρίμηνο </w:t>
      </w:r>
      <w:r w:rsidR="00896C06" w:rsidRPr="00756DF8">
        <w:rPr>
          <w:rFonts w:asciiTheme="majorHAnsi" w:eastAsiaTheme="majorEastAsia" w:hAnsiTheme="majorHAnsi" w:cstheme="majorBidi"/>
          <w:sz w:val="24"/>
          <w:szCs w:val="24"/>
        </w:rPr>
        <w:t>(</w:t>
      </w:r>
      <w:r w:rsidR="00896C06" w:rsidRPr="00756DF8">
        <w:rPr>
          <w:rFonts w:asciiTheme="majorHAnsi" w:eastAsiaTheme="majorEastAsia" w:hAnsiTheme="majorHAnsi" w:cstheme="majorBidi"/>
          <w:sz w:val="24"/>
          <w:szCs w:val="24"/>
          <w:lang w:val="en-US"/>
        </w:rPr>
        <w:t>Q</w:t>
      </w:r>
      <w:r w:rsidR="00896C06" w:rsidRPr="00756DF8">
        <w:rPr>
          <w:rFonts w:asciiTheme="majorHAnsi" w:eastAsiaTheme="majorEastAsia" w:hAnsiTheme="majorHAnsi" w:cstheme="majorBidi"/>
          <w:sz w:val="24"/>
          <w:szCs w:val="24"/>
        </w:rPr>
        <w:t xml:space="preserve">3) </w:t>
      </w:r>
      <w:r w:rsidRPr="00756DF8">
        <w:rPr>
          <w:rFonts w:asciiTheme="majorHAnsi" w:eastAsiaTheme="majorEastAsia" w:hAnsiTheme="majorHAnsi" w:cstheme="majorBidi"/>
          <w:sz w:val="24"/>
          <w:szCs w:val="24"/>
        </w:rPr>
        <w:t>του 2021:</w:t>
      </w:r>
    </w:p>
    <w:p w14:paraId="69ECD279" w14:textId="157235F7" w:rsidR="00F87003" w:rsidRPr="00756DF8" w:rsidRDefault="00F87003" w:rsidP="00D05996">
      <w:pPr>
        <w:pStyle w:val="a6"/>
        <w:numPr>
          <w:ilvl w:val="0"/>
          <w:numId w:val="3"/>
        </w:numPr>
        <w:spacing w:line="259" w:lineRule="auto"/>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Τα </w:t>
      </w:r>
      <w:r w:rsidRPr="00756DF8">
        <w:rPr>
          <w:rFonts w:asciiTheme="majorHAnsi" w:eastAsiaTheme="majorEastAsia" w:hAnsiTheme="majorHAnsi" w:cstheme="majorBidi"/>
          <w:b/>
          <w:bCs/>
          <w:sz w:val="24"/>
          <w:szCs w:val="24"/>
        </w:rPr>
        <w:t xml:space="preserve">Εγγεγραμμένα Ασφάλιστρα και συναφή έσοδα </w:t>
      </w:r>
      <w:r w:rsidRPr="00756DF8">
        <w:rPr>
          <w:rFonts w:asciiTheme="majorHAnsi" w:eastAsiaTheme="majorEastAsia" w:hAnsiTheme="majorHAnsi" w:cstheme="majorBidi"/>
          <w:sz w:val="24"/>
          <w:szCs w:val="24"/>
        </w:rPr>
        <w:t>της Εταιρίας διαμορφώθηκαν στα 54,1 εκ. ευρώ</w:t>
      </w:r>
      <w:r w:rsidR="00BC05F0" w:rsidRPr="00756DF8">
        <w:rPr>
          <w:rFonts w:asciiTheme="majorHAnsi" w:eastAsiaTheme="majorEastAsia" w:hAnsiTheme="majorHAnsi" w:cstheme="majorBidi"/>
          <w:sz w:val="24"/>
          <w:szCs w:val="24"/>
        </w:rPr>
        <w:t xml:space="preserve"> στο </w:t>
      </w:r>
      <w:r w:rsidR="00BC05F0" w:rsidRPr="00756DF8">
        <w:rPr>
          <w:rFonts w:asciiTheme="majorHAnsi" w:eastAsiaTheme="majorEastAsia" w:hAnsiTheme="majorHAnsi" w:cstheme="majorBidi"/>
          <w:sz w:val="24"/>
          <w:szCs w:val="24"/>
          <w:lang w:val="en-US"/>
        </w:rPr>
        <w:t>Q</w:t>
      </w:r>
      <w:r w:rsidR="00BC05F0" w:rsidRPr="00756DF8">
        <w:rPr>
          <w:rFonts w:asciiTheme="majorHAnsi" w:eastAsiaTheme="majorEastAsia" w:hAnsiTheme="majorHAnsi" w:cstheme="majorBidi"/>
          <w:sz w:val="24"/>
          <w:szCs w:val="24"/>
        </w:rPr>
        <w:t>3 2021</w:t>
      </w:r>
      <w:r w:rsidR="00E14FC9" w:rsidRPr="00756DF8">
        <w:rPr>
          <w:rFonts w:asciiTheme="majorHAnsi" w:eastAsiaTheme="majorEastAsia" w:hAnsiTheme="majorHAnsi" w:cstheme="majorBidi"/>
          <w:sz w:val="24"/>
          <w:szCs w:val="24"/>
        </w:rPr>
        <w:t>,</w:t>
      </w:r>
      <w:r w:rsidRPr="00756DF8">
        <w:rPr>
          <w:rFonts w:asciiTheme="majorHAnsi" w:eastAsiaTheme="majorEastAsia" w:hAnsiTheme="majorHAnsi" w:cstheme="majorBidi"/>
          <w:sz w:val="24"/>
          <w:szCs w:val="24"/>
        </w:rPr>
        <w:t xml:space="preserve"> έναντι 54,3 εκ. ευρώ </w:t>
      </w:r>
      <w:r w:rsidR="00BC05F0" w:rsidRPr="00756DF8">
        <w:rPr>
          <w:rFonts w:asciiTheme="majorHAnsi" w:eastAsiaTheme="majorEastAsia" w:hAnsiTheme="majorHAnsi" w:cstheme="majorBidi"/>
          <w:sz w:val="24"/>
          <w:szCs w:val="24"/>
        </w:rPr>
        <w:t xml:space="preserve">το </w:t>
      </w:r>
      <w:r w:rsidR="00BC05F0" w:rsidRPr="00756DF8">
        <w:rPr>
          <w:rFonts w:asciiTheme="majorHAnsi" w:eastAsiaTheme="majorEastAsia" w:hAnsiTheme="majorHAnsi" w:cstheme="majorBidi"/>
          <w:sz w:val="24"/>
          <w:szCs w:val="24"/>
          <w:lang w:val="en-US"/>
        </w:rPr>
        <w:t>Q</w:t>
      </w:r>
      <w:r w:rsidR="00BC05F0" w:rsidRPr="00756DF8">
        <w:rPr>
          <w:rFonts w:asciiTheme="majorHAnsi" w:eastAsiaTheme="majorEastAsia" w:hAnsiTheme="majorHAnsi" w:cstheme="majorBidi"/>
          <w:sz w:val="24"/>
          <w:szCs w:val="24"/>
        </w:rPr>
        <w:t>3 2020</w:t>
      </w:r>
      <w:r w:rsidRPr="00756DF8">
        <w:rPr>
          <w:rFonts w:asciiTheme="majorHAnsi" w:eastAsiaTheme="majorEastAsia" w:hAnsiTheme="majorHAnsi" w:cstheme="majorBidi"/>
          <w:sz w:val="24"/>
          <w:szCs w:val="24"/>
        </w:rPr>
        <w:t>, παρουσιάζοντας μείωση 0,4%</w:t>
      </w:r>
      <w:r w:rsidR="00BC05F0" w:rsidRPr="00756DF8">
        <w:rPr>
          <w:rFonts w:asciiTheme="majorHAnsi" w:eastAsiaTheme="majorEastAsia" w:hAnsiTheme="majorHAnsi" w:cstheme="majorBidi"/>
          <w:sz w:val="24"/>
          <w:szCs w:val="24"/>
        </w:rPr>
        <w:t xml:space="preserve">. Τα εν λόγω αποτελέσματα επηρεάστηκαν </w:t>
      </w:r>
      <w:r w:rsidR="004E3CE8" w:rsidRPr="00756DF8">
        <w:rPr>
          <w:rFonts w:asciiTheme="majorHAnsi" w:eastAsiaTheme="majorEastAsia" w:hAnsiTheme="majorHAnsi" w:cstheme="majorBidi"/>
          <w:sz w:val="24"/>
          <w:szCs w:val="24"/>
        </w:rPr>
        <w:t xml:space="preserve">κυρίως </w:t>
      </w:r>
      <w:r w:rsidR="00BC05F0" w:rsidRPr="00756DF8">
        <w:rPr>
          <w:rFonts w:asciiTheme="majorHAnsi" w:eastAsiaTheme="majorEastAsia" w:hAnsiTheme="majorHAnsi" w:cstheme="majorBidi"/>
          <w:sz w:val="24"/>
          <w:szCs w:val="24"/>
        </w:rPr>
        <w:t xml:space="preserve">από τη μείωση παραγωγής ασφαλίστρων ύψους 3,0% στον Κλάδο </w:t>
      </w:r>
      <w:r w:rsidR="004E3CE8" w:rsidRPr="00756DF8">
        <w:rPr>
          <w:rFonts w:asciiTheme="majorHAnsi" w:eastAsiaTheme="majorEastAsia" w:hAnsiTheme="majorHAnsi" w:cstheme="majorBidi"/>
          <w:sz w:val="24"/>
          <w:szCs w:val="24"/>
        </w:rPr>
        <w:t>Α</w:t>
      </w:r>
      <w:r w:rsidR="00BC05F0" w:rsidRPr="00756DF8">
        <w:rPr>
          <w:rFonts w:asciiTheme="majorHAnsi" w:eastAsiaTheme="majorEastAsia" w:hAnsiTheme="majorHAnsi" w:cstheme="majorBidi"/>
          <w:sz w:val="24"/>
          <w:szCs w:val="24"/>
        </w:rPr>
        <w:t>υτοκινήτων</w:t>
      </w:r>
      <w:r w:rsidR="004E3CE8" w:rsidRPr="00756DF8">
        <w:rPr>
          <w:rFonts w:asciiTheme="majorHAnsi" w:eastAsiaTheme="majorEastAsia" w:hAnsiTheme="majorHAnsi" w:cstheme="majorBidi"/>
          <w:sz w:val="24"/>
          <w:szCs w:val="24"/>
        </w:rPr>
        <w:t xml:space="preserve">, τα οποία ανήλθαν σε 24,9 εκ. ευρώ το </w:t>
      </w:r>
      <w:r w:rsidR="004E3CE8" w:rsidRPr="00756DF8">
        <w:rPr>
          <w:rFonts w:asciiTheme="majorHAnsi" w:eastAsiaTheme="majorEastAsia" w:hAnsiTheme="majorHAnsi" w:cstheme="majorBidi"/>
          <w:sz w:val="24"/>
          <w:szCs w:val="24"/>
          <w:lang w:val="en-US"/>
        </w:rPr>
        <w:t>Q</w:t>
      </w:r>
      <w:r w:rsidR="004E3CE8" w:rsidRPr="00756DF8">
        <w:rPr>
          <w:rFonts w:asciiTheme="majorHAnsi" w:eastAsiaTheme="majorEastAsia" w:hAnsiTheme="majorHAnsi" w:cstheme="majorBidi"/>
          <w:sz w:val="24"/>
          <w:szCs w:val="24"/>
        </w:rPr>
        <w:t xml:space="preserve">3 2021, έναντι 25,6 εκ. ευρώ το </w:t>
      </w:r>
      <w:r w:rsidR="004E3CE8" w:rsidRPr="00756DF8">
        <w:rPr>
          <w:rFonts w:asciiTheme="majorHAnsi" w:eastAsiaTheme="majorEastAsia" w:hAnsiTheme="majorHAnsi" w:cstheme="majorBidi"/>
          <w:sz w:val="24"/>
          <w:szCs w:val="24"/>
          <w:lang w:val="en-US"/>
        </w:rPr>
        <w:t>Q</w:t>
      </w:r>
      <w:r w:rsidR="004E3CE8" w:rsidRPr="00756DF8">
        <w:rPr>
          <w:rFonts w:asciiTheme="majorHAnsi" w:eastAsiaTheme="majorEastAsia" w:hAnsiTheme="majorHAnsi" w:cstheme="majorBidi"/>
          <w:sz w:val="24"/>
          <w:szCs w:val="24"/>
        </w:rPr>
        <w:t xml:space="preserve">3 2020 και από την αύξηση </w:t>
      </w:r>
      <w:r w:rsidR="007F2734" w:rsidRPr="00756DF8">
        <w:rPr>
          <w:rFonts w:asciiTheme="majorHAnsi" w:eastAsiaTheme="majorEastAsia" w:hAnsiTheme="majorHAnsi" w:cstheme="majorBidi"/>
          <w:sz w:val="24"/>
          <w:szCs w:val="24"/>
        </w:rPr>
        <w:t>της</w:t>
      </w:r>
      <w:r w:rsidR="004E3CE8" w:rsidRPr="00756DF8">
        <w:rPr>
          <w:rFonts w:asciiTheme="majorHAnsi" w:eastAsiaTheme="majorEastAsia" w:hAnsiTheme="majorHAnsi" w:cstheme="majorBidi"/>
          <w:sz w:val="24"/>
          <w:szCs w:val="24"/>
        </w:rPr>
        <w:t xml:space="preserve"> παραγωγή</w:t>
      </w:r>
      <w:r w:rsidR="007F2734" w:rsidRPr="00756DF8">
        <w:rPr>
          <w:rFonts w:asciiTheme="majorHAnsi" w:eastAsiaTheme="majorEastAsia" w:hAnsiTheme="majorHAnsi" w:cstheme="majorBidi"/>
          <w:sz w:val="24"/>
          <w:szCs w:val="24"/>
        </w:rPr>
        <w:t>ς</w:t>
      </w:r>
      <w:r w:rsidR="004E3CE8" w:rsidRPr="00756DF8">
        <w:rPr>
          <w:rFonts w:asciiTheme="majorHAnsi" w:eastAsiaTheme="majorEastAsia" w:hAnsiTheme="majorHAnsi" w:cstheme="majorBidi"/>
          <w:sz w:val="24"/>
          <w:szCs w:val="24"/>
        </w:rPr>
        <w:t xml:space="preserve"> ασφαλίστρων </w:t>
      </w:r>
      <w:r w:rsidR="007F2734" w:rsidRPr="00756DF8">
        <w:rPr>
          <w:rFonts w:asciiTheme="majorHAnsi" w:eastAsiaTheme="majorEastAsia" w:hAnsiTheme="majorHAnsi" w:cstheme="majorBidi"/>
          <w:sz w:val="24"/>
          <w:szCs w:val="24"/>
        </w:rPr>
        <w:t>των Λοιπών Γενικών Κλάδων</w:t>
      </w:r>
      <w:r w:rsidR="004E3CE8" w:rsidRPr="00756DF8">
        <w:rPr>
          <w:rFonts w:asciiTheme="majorHAnsi" w:eastAsiaTheme="majorEastAsia" w:hAnsiTheme="majorHAnsi" w:cstheme="majorBidi"/>
          <w:sz w:val="24"/>
          <w:szCs w:val="24"/>
        </w:rPr>
        <w:t xml:space="preserve"> καθώς και </w:t>
      </w:r>
      <w:r w:rsidR="007F2734" w:rsidRPr="00756DF8">
        <w:rPr>
          <w:rFonts w:asciiTheme="majorHAnsi" w:eastAsiaTheme="majorEastAsia" w:hAnsiTheme="majorHAnsi" w:cstheme="majorBidi"/>
          <w:sz w:val="24"/>
          <w:szCs w:val="24"/>
        </w:rPr>
        <w:t>του</w:t>
      </w:r>
      <w:r w:rsidR="004E3CE8" w:rsidRPr="00756DF8">
        <w:rPr>
          <w:rFonts w:asciiTheme="majorHAnsi" w:eastAsiaTheme="majorEastAsia" w:hAnsiTheme="majorHAnsi" w:cstheme="majorBidi"/>
          <w:sz w:val="24"/>
          <w:szCs w:val="24"/>
        </w:rPr>
        <w:t xml:space="preserve"> Κλάδο</w:t>
      </w:r>
      <w:r w:rsidR="007F2734" w:rsidRPr="00756DF8">
        <w:rPr>
          <w:rFonts w:asciiTheme="majorHAnsi" w:eastAsiaTheme="majorEastAsia" w:hAnsiTheme="majorHAnsi" w:cstheme="majorBidi"/>
          <w:sz w:val="24"/>
          <w:szCs w:val="24"/>
        </w:rPr>
        <w:t>υ</w:t>
      </w:r>
      <w:r w:rsidR="004E3CE8" w:rsidRPr="00756DF8">
        <w:rPr>
          <w:rFonts w:asciiTheme="majorHAnsi" w:eastAsiaTheme="majorEastAsia" w:hAnsiTheme="majorHAnsi" w:cstheme="majorBidi"/>
          <w:sz w:val="24"/>
          <w:szCs w:val="24"/>
        </w:rPr>
        <w:t xml:space="preserve"> Ζωής</w:t>
      </w:r>
      <w:r w:rsidR="004D500D">
        <w:rPr>
          <w:rFonts w:asciiTheme="majorHAnsi" w:eastAsiaTheme="majorEastAsia" w:hAnsiTheme="majorHAnsi" w:cstheme="majorBidi"/>
          <w:sz w:val="24"/>
          <w:szCs w:val="24"/>
        </w:rPr>
        <w:t>,</w:t>
      </w:r>
      <w:r w:rsidR="004E3CE8" w:rsidRPr="00756DF8">
        <w:rPr>
          <w:rFonts w:asciiTheme="majorHAnsi" w:eastAsiaTheme="majorEastAsia" w:hAnsiTheme="majorHAnsi" w:cstheme="majorBidi"/>
          <w:sz w:val="24"/>
          <w:szCs w:val="24"/>
        </w:rPr>
        <w:t xml:space="preserve"> ύψους 5,1% και 0,1% αντίστοιχα.</w:t>
      </w:r>
    </w:p>
    <w:p w14:paraId="3D5359CD" w14:textId="598D1461" w:rsidR="00F87003" w:rsidRPr="00756DF8" w:rsidRDefault="00F87003" w:rsidP="00D05996">
      <w:pPr>
        <w:pStyle w:val="a6"/>
        <w:numPr>
          <w:ilvl w:val="0"/>
          <w:numId w:val="3"/>
        </w:numPr>
        <w:spacing w:line="259" w:lineRule="auto"/>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Τα </w:t>
      </w:r>
      <w:r w:rsidRPr="00756DF8">
        <w:rPr>
          <w:rFonts w:asciiTheme="majorHAnsi" w:eastAsiaTheme="majorEastAsia" w:hAnsiTheme="majorHAnsi" w:cstheme="majorBidi"/>
          <w:b/>
          <w:bCs/>
          <w:sz w:val="24"/>
          <w:szCs w:val="24"/>
        </w:rPr>
        <w:t>Έσοδα Επενδύσεων &amp; Λοιπά Έσοδα</w:t>
      </w:r>
      <w:r w:rsidRPr="00756DF8">
        <w:rPr>
          <w:rFonts w:asciiTheme="majorHAnsi" w:eastAsiaTheme="majorEastAsia" w:hAnsiTheme="majorHAnsi" w:cstheme="majorBidi"/>
          <w:sz w:val="24"/>
          <w:szCs w:val="24"/>
        </w:rPr>
        <w:t xml:space="preserve"> ανήλθαν στα </w:t>
      </w:r>
      <w:r w:rsidR="008A2D4B" w:rsidRPr="00756DF8">
        <w:rPr>
          <w:rFonts w:asciiTheme="majorHAnsi" w:eastAsiaTheme="majorEastAsia" w:hAnsiTheme="majorHAnsi" w:cstheme="majorBidi"/>
          <w:sz w:val="24"/>
          <w:szCs w:val="24"/>
        </w:rPr>
        <w:t xml:space="preserve">3,0 </w:t>
      </w:r>
      <w:r w:rsidRPr="00756DF8">
        <w:rPr>
          <w:rFonts w:asciiTheme="majorHAnsi" w:eastAsiaTheme="majorEastAsia" w:hAnsiTheme="majorHAnsi" w:cstheme="majorBidi"/>
          <w:sz w:val="24"/>
          <w:szCs w:val="24"/>
        </w:rPr>
        <w:t>εκ. ευρώ</w:t>
      </w:r>
      <w:r w:rsidR="004D500D">
        <w:rPr>
          <w:rFonts w:asciiTheme="majorHAnsi" w:eastAsiaTheme="majorEastAsia" w:hAnsiTheme="majorHAnsi" w:cstheme="majorBidi"/>
          <w:sz w:val="24"/>
          <w:szCs w:val="24"/>
        </w:rPr>
        <w:t>,</w:t>
      </w:r>
      <w:r w:rsidRPr="00756DF8">
        <w:rPr>
          <w:rFonts w:asciiTheme="majorHAnsi" w:eastAsiaTheme="majorEastAsia" w:hAnsiTheme="majorHAnsi" w:cstheme="majorBidi"/>
          <w:sz w:val="24"/>
          <w:szCs w:val="24"/>
        </w:rPr>
        <w:t xml:space="preserve"> έναντι 2,</w:t>
      </w:r>
      <w:r w:rsidR="008A2D4B" w:rsidRPr="00756DF8">
        <w:rPr>
          <w:rFonts w:asciiTheme="majorHAnsi" w:eastAsiaTheme="majorEastAsia" w:hAnsiTheme="majorHAnsi" w:cstheme="majorBidi"/>
          <w:sz w:val="24"/>
          <w:szCs w:val="24"/>
        </w:rPr>
        <w:t>3</w:t>
      </w:r>
      <w:r w:rsidRPr="00756DF8">
        <w:rPr>
          <w:rFonts w:asciiTheme="majorHAnsi" w:eastAsiaTheme="majorEastAsia" w:hAnsiTheme="majorHAnsi" w:cstheme="majorBidi"/>
          <w:sz w:val="24"/>
          <w:szCs w:val="24"/>
        </w:rPr>
        <w:t xml:space="preserve"> εκ. ευρώ την αντίστοιχη περσινή περίοδο, σημειώνοντας αύξηση ύψους 31,</w:t>
      </w:r>
      <w:r w:rsidR="008A2D4B" w:rsidRPr="00756DF8">
        <w:rPr>
          <w:rFonts w:asciiTheme="majorHAnsi" w:eastAsiaTheme="majorEastAsia" w:hAnsiTheme="majorHAnsi" w:cstheme="majorBidi"/>
          <w:sz w:val="24"/>
          <w:szCs w:val="24"/>
        </w:rPr>
        <w:t>2</w:t>
      </w:r>
      <w:r w:rsidRPr="00756DF8">
        <w:rPr>
          <w:rFonts w:asciiTheme="majorHAnsi" w:eastAsiaTheme="majorEastAsia" w:hAnsiTheme="majorHAnsi" w:cstheme="majorBidi"/>
          <w:sz w:val="24"/>
          <w:szCs w:val="24"/>
        </w:rPr>
        <w:t>%.</w:t>
      </w:r>
    </w:p>
    <w:p w14:paraId="41A8F240" w14:textId="5E71A96C" w:rsidR="00F87003" w:rsidRDefault="00F87003" w:rsidP="00D05996">
      <w:pPr>
        <w:pStyle w:val="a6"/>
        <w:numPr>
          <w:ilvl w:val="0"/>
          <w:numId w:val="3"/>
        </w:numPr>
        <w:spacing w:line="259" w:lineRule="auto"/>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Τα </w:t>
      </w:r>
      <w:r w:rsidRPr="00756DF8">
        <w:rPr>
          <w:rFonts w:asciiTheme="majorHAnsi" w:eastAsiaTheme="majorEastAsia" w:hAnsiTheme="majorHAnsi" w:cstheme="majorBidi"/>
          <w:b/>
          <w:bCs/>
          <w:sz w:val="24"/>
          <w:szCs w:val="24"/>
        </w:rPr>
        <w:t xml:space="preserve">Κέρδη προ Φόρων </w:t>
      </w:r>
      <w:r w:rsidRPr="00756DF8">
        <w:rPr>
          <w:rFonts w:asciiTheme="majorHAnsi" w:eastAsiaTheme="majorEastAsia" w:hAnsiTheme="majorHAnsi" w:cstheme="majorBidi"/>
          <w:sz w:val="24"/>
          <w:szCs w:val="24"/>
        </w:rPr>
        <w:t>κατέγραψαν υψηλή αύξηση το τρίτο τρίμηνο του 2021 ύψους 56,0% και διαμορφώθηκαν στα 7,</w:t>
      </w:r>
      <w:r w:rsidR="008A2D4B" w:rsidRPr="00756DF8">
        <w:rPr>
          <w:rFonts w:asciiTheme="majorHAnsi" w:eastAsiaTheme="majorEastAsia" w:hAnsiTheme="majorHAnsi" w:cstheme="majorBidi"/>
          <w:sz w:val="24"/>
          <w:szCs w:val="24"/>
        </w:rPr>
        <w:t>9</w:t>
      </w:r>
      <w:r w:rsidRPr="00756DF8">
        <w:rPr>
          <w:rFonts w:asciiTheme="majorHAnsi" w:eastAsiaTheme="majorEastAsia" w:hAnsiTheme="majorHAnsi" w:cstheme="majorBidi"/>
          <w:sz w:val="24"/>
          <w:szCs w:val="24"/>
        </w:rPr>
        <w:t xml:space="preserve"> εκ. ευρώ σε σχέση με την αντίστοιχη περσινή περίοδο</w:t>
      </w:r>
      <w:r w:rsidR="008A2D4B" w:rsidRPr="00756DF8">
        <w:rPr>
          <w:rFonts w:asciiTheme="majorHAnsi" w:eastAsiaTheme="majorEastAsia" w:hAnsiTheme="majorHAnsi" w:cstheme="majorBidi"/>
          <w:sz w:val="24"/>
          <w:szCs w:val="24"/>
        </w:rPr>
        <w:t>,</w:t>
      </w:r>
      <w:r w:rsidRPr="00756DF8">
        <w:rPr>
          <w:rFonts w:asciiTheme="majorHAnsi" w:eastAsiaTheme="majorEastAsia" w:hAnsiTheme="majorHAnsi" w:cstheme="majorBidi"/>
          <w:sz w:val="24"/>
          <w:szCs w:val="24"/>
        </w:rPr>
        <w:t xml:space="preserve"> </w:t>
      </w:r>
      <w:r w:rsidR="008A2D4B" w:rsidRPr="00756DF8">
        <w:rPr>
          <w:rFonts w:asciiTheme="majorHAnsi" w:eastAsiaTheme="majorEastAsia" w:hAnsiTheme="majorHAnsi" w:cstheme="majorBidi"/>
          <w:sz w:val="24"/>
          <w:szCs w:val="24"/>
        </w:rPr>
        <w:t>ό</w:t>
      </w:r>
      <w:r w:rsidRPr="00756DF8">
        <w:rPr>
          <w:rFonts w:asciiTheme="majorHAnsi" w:eastAsiaTheme="majorEastAsia" w:hAnsiTheme="majorHAnsi" w:cstheme="majorBidi"/>
          <w:sz w:val="24"/>
          <w:szCs w:val="24"/>
        </w:rPr>
        <w:t>που ανήλθαν στα 5,</w:t>
      </w:r>
      <w:r w:rsidR="008A2D4B" w:rsidRPr="00756DF8">
        <w:rPr>
          <w:rFonts w:asciiTheme="majorHAnsi" w:eastAsiaTheme="majorEastAsia" w:hAnsiTheme="majorHAnsi" w:cstheme="majorBidi"/>
          <w:sz w:val="24"/>
          <w:szCs w:val="24"/>
        </w:rPr>
        <w:t>1</w:t>
      </w:r>
      <w:r w:rsidRPr="00756DF8">
        <w:rPr>
          <w:rFonts w:asciiTheme="majorHAnsi" w:eastAsiaTheme="majorEastAsia" w:hAnsiTheme="majorHAnsi" w:cstheme="majorBidi"/>
          <w:sz w:val="24"/>
          <w:szCs w:val="24"/>
        </w:rPr>
        <w:t xml:space="preserve"> εκ. ευρώ.</w:t>
      </w:r>
    </w:p>
    <w:p w14:paraId="3DF65401" w14:textId="3546552E" w:rsidR="003635D4" w:rsidRDefault="003635D4" w:rsidP="003635D4">
      <w:pPr>
        <w:jc w:val="both"/>
        <w:rPr>
          <w:rFonts w:asciiTheme="majorHAnsi" w:eastAsiaTheme="majorEastAsia" w:hAnsiTheme="majorHAnsi" w:cstheme="majorBidi"/>
          <w:sz w:val="24"/>
          <w:szCs w:val="24"/>
        </w:rPr>
      </w:pPr>
    </w:p>
    <w:p w14:paraId="663E9A27" w14:textId="0AACBF36" w:rsidR="003635D4" w:rsidRDefault="003635D4" w:rsidP="003635D4">
      <w:pPr>
        <w:jc w:val="both"/>
        <w:rPr>
          <w:rFonts w:asciiTheme="majorHAnsi" w:eastAsiaTheme="majorEastAsia" w:hAnsiTheme="majorHAnsi" w:cstheme="majorBidi"/>
          <w:sz w:val="24"/>
          <w:szCs w:val="24"/>
        </w:rPr>
      </w:pPr>
    </w:p>
    <w:p w14:paraId="20302375" w14:textId="71CCF2C1" w:rsidR="003635D4" w:rsidRDefault="003635D4" w:rsidP="003635D4">
      <w:pPr>
        <w:jc w:val="both"/>
        <w:rPr>
          <w:rFonts w:asciiTheme="majorHAnsi" w:eastAsiaTheme="majorEastAsia" w:hAnsiTheme="majorHAnsi" w:cstheme="majorBidi"/>
          <w:sz w:val="24"/>
          <w:szCs w:val="24"/>
        </w:rPr>
      </w:pPr>
    </w:p>
    <w:p w14:paraId="5E89B93E" w14:textId="77777777" w:rsidR="003635D4" w:rsidRPr="003635D4" w:rsidRDefault="003635D4" w:rsidP="003635D4">
      <w:pPr>
        <w:jc w:val="both"/>
        <w:rPr>
          <w:rFonts w:asciiTheme="majorHAnsi" w:eastAsiaTheme="majorEastAsia" w:hAnsiTheme="majorHAnsi" w:cstheme="majorBidi"/>
          <w:sz w:val="24"/>
          <w:szCs w:val="24"/>
        </w:rPr>
      </w:pPr>
    </w:p>
    <w:p w14:paraId="51908FEC" w14:textId="5C0B831D" w:rsidR="00652CF2" w:rsidRPr="00756DF8" w:rsidRDefault="00652CF2" w:rsidP="00D05996">
      <w:pPr>
        <w:jc w:val="both"/>
        <w:rPr>
          <w:rFonts w:asciiTheme="majorHAnsi" w:eastAsiaTheme="majorEastAsia" w:hAnsiTheme="majorHAnsi" w:cstheme="majorBidi"/>
        </w:rPr>
      </w:pPr>
      <w:r w:rsidRPr="00756DF8">
        <w:rPr>
          <w:rFonts w:ascii="72 Black" w:eastAsiaTheme="majorEastAsia" w:hAnsi="72 Black" w:cs="72 Black"/>
        </w:rPr>
        <w:t>Σημαντικά γεγονότα περιόδου</w:t>
      </w:r>
      <w:r w:rsidR="00763B04">
        <w:rPr>
          <w:rFonts w:ascii="72 Black" w:eastAsiaTheme="majorEastAsia" w:hAnsi="72 Black" w:cs="72 Black"/>
        </w:rPr>
        <w:t>: Εννεάμηνο 2021</w:t>
      </w:r>
    </w:p>
    <w:p w14:paraId="3A22AD95" w14:textId="77777777" w:rsidR="00354A3C" w:rsidRPr="00756DF8" w:rsidRDefault="00354A3C" w:rsidP="00D05996">
      <w:pPr>
        <w:pStyle w:val="a6"/>
        <w:numPr>
          <w:ilvl w:val="0"/>
          <w:numId w:val="6"/>
        </w:numPr>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Διεύρυνση μεριδίου αγοράς στον </w:t>
      </w:r>
      <w:r w:rsidRPr="00756DF8">
        <w:rPr>
          <w:rFonts w:asciiTheme="majorHAnsi" w:eastAsiaTheme="majorEastAsia" w:hAnsiTheme="majorHAnsi" w:cstheme="majorBidi"/>
          <w:b/>
          <w:bCs/>
          <w:sz w:val="24"/>
          <w:szCs w:val="24"/>
        </w:rPr>
        <w:t>Κλάδο Ζωής</w:t>
      </w:r>
      <w:r w:rsidRPr="00756DF8">
        <w:rPr>
          <w:rFonts w:asciiTheme="majorHAnsi" w:eastAsiaTheme="majorEastAsia" w:hAnsiTheme="majorHAnsi" w:cstheme="majorBidi"/>
          <w:sz w:val="24"/>
          <w:szCs w:val="24"/>
        </w:rPr>
        <w:t xml:space="preserve">, η οποία εκτιμάται στο </w:t>
      </w:r>
      <w:r w:rsidRPr="00756DF8">
        <w:rPr>
          <w:rFonts w:asciiTheme="majorHAnsi" w:eastAsiaTheme="majorEastAsia" w:hAnsiTheme="majorHAnsi" w:cstheme="majorBidi"/>
          <w:b/>
          <w:bCs/>
          <w:sz w:val="24"/>
          <w:szCs w:val="24"/>
        </w:rPr>
        <w:t>3,9%,</w:t>
      </w:r>
      <w:r w:rsidRPr="00756DF8">
        <w:rPr>
          <w:rFonts w:asciiTheme="majorHAnsi" w:eastAsiaTheme="majorEastAsia" w:hAnsiTheme="majorHAnsi" w:cstheme="majorBidi"/>
          <w:sz w:val="24"/>
          <w:szCs w:val="24"/>
        </w:rPr>
        <w:t xml:space="preserve"> ενώ στον </w:t>
      </w:r>
      <w:r w:rsidRPr="00756DF8">
        <w:rPr>
          <w:rFonts w:asciiTheme="majorHAnsi" w:eastAsiaTheme="majorEastAsia" w:hAnsiTheme="majorHAnsi" w:cstheme="majorBidi"/>
          <w:b/>
          <w:bCs/>
          <w:sz w:val="24"/>
          <w:szCs w:val="24"/>
        </w:rPr>
        <w:t>Κλάδο Ζημιών</w:t>
      </w:r>
      <w:r w:rsidRPr="00756DF8">
        <w:rPr>
          <w:rFonts w:asciiTheme="majorHAnsi" w:eastAsiaTheme="majorEastAsia" w:hAnsiTheme="majorHAnsi" w:cstheme="majorBidi"/>
          <w:sz w:val="24"/>
          <w:szCs w:val="24"/>
        </w:rPr>
        <w:t xml:space="preserve"> εκτιμάται στο </w:t>
      </w:r>
      <w:r w:rsidRPr="00756DF8">
        <w:rPr>
          <w:rFonts w:asciiTheme="majorHAnsi" w:eastAsiaTheme="majorEastAsia" w:hAnsiTheme="majorHAnsi" w:cstheme="majorBidi"/>
          <w:b/>
          <w:bCs/>
          <w:sz w:val="24"/>
          <w:szCs w:val="24"/>
        </w:rPr>
        <w:t>6,7%</w:t>
      </w:r>
      <w:r w:rsidRPr="00756DF8">
        <w:rPr>
          <w:rFonts w:asciiTheme="majorHAnsi" w:eastAsiaTheme="majorEastAsia" w:hAnsiTheme="majorHAnsi" w:cstheme="majorBidi"/>
          <w:sz w:val="24"/>
          <w:szCs w:val="24"/>
        </w:rPr>
        <w:t>.</w:t>
      </w:r>
    </w:p>
    <w:p w14:paraId="00EAD1A9" w14:textId="77777777" w:rsidR="00354A3C" w:rsidRPr="00756DF8" w:rsidRDefault="00354A3C" w:rsidP="00D05996">
      <w:pPr>
        <w:pStyle w:val="a6"/>
        <w:numPr>
          <w:ilvl w:val="0"/>
          <w:numId w:val="6"/>
        </w:numPr>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Ανάπτυξη </w:t>
      </w:r>
      <w:r w:rsidRPr="00756DF8">
        <w:rPr>
          <w:rFonts w:asciiTheme="majorHAnsi" w:eastAsiaTheme="majorEastAsia" w:hAnsiTheme="majorHAnsi" w:cstheme="majorBidi"/>
          <w:b/>
          <w:bCs/>
          <w:sz w:val="24"/>
          <w:szCs w:val="24"/>
        </w:rPr>
        <w:t>δύο νέων καινοτόμων προϊόντων</w:t>
      </w:r>
      <w:r w:rsidRPr="00756DF8">
        <w:rPr>
          <w:rFonts w:asciiTheme="majorHAnsi" w:eastAsiaTheme="majorEastAsia" w:hAnsiTheme="majorHAnsi" w:cstheme="majorBidi"/>
          <w:sz w:val="24"/>
          <w:szCs w:val="24"/>
        </w:rPr>
        <w:t xml:space="preserve"> στους Γενικούς Κλάδους και στις Ομαδικές Ασφαλίσεις Ζωής. </w:t>
      </w:r>
    </w:p>
    <w:p w14:paraId="06508552" w14:textId="4B584ED6" w:rsidR="00354A3C" w:rsidRPr="00756DF8" w:rsidRDefault="00354A3C" w:rsidP="00D05996">
      <w:pPr>
        <w:pStyle w:val="a6"/>
        <w:numPr>
          <w:ilvl w:val="0"/>
          <w:numId w:val="6"/>
        </w:numPr>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Διανομή μερίσματος ύψους </w:t>
      </w:r>
      <w:r w:rsidRPr="00756DF8">
        <w:rPr>
          <w:rFonts w:asciiTheme="majorHAnsi" w:eastAsiaTheme="majorEastAsia" w:hAnsiTheme="majorHAnsi" w:cstheme="majorBidi"/>
          <w:b/>
          <w:bCs/>
          <w:sz w:val="24"/>
          <w:szCs w:val="24"/>
        </w:rPr>
        <w:t>€</w:t>
      </w:r>
      <w:r w:rsidR="004954A7" w:rsidRPr="00756DF8">
        <w:rPr>
          <w:rFonts w:asciiTheme="majorHAnsi" w:eastAsiaTheme="majorEastAsia" w:hAnsiTheme="majorHAnsi" w:cstheme="majorBidi"/>
          <w:b/>
          <w:bCs/>
          <w:sz w:val="24"/>
          <w:szCs w:val="24"/>
        </w:rPr>
        <w:t xml:space="preserve"> </w:t>
      </w:r>
      <w:r w:rsidRPr="00756DF8">
        <w:rPr>
          <w:rFonts w:asciiTheme="majorHAnsi" w:eastAsiaTheme="majorEastAsia" w:hAnsiTheme="majorHAnsi" w:cstheme="majorBidi"/>
          <w:b/>
          <w:bCs/>
          <w:sz w:val="24"/>
          <w:szCs w:val="24"/>
        </w:rPr>
        <w:t>0,30 ανά μετοχή</w:t>
      </w:r>
      <w:r w:rsidRPr="00756DF8">
        <w:rPr>
          <w:rFonts w:asciiTheme="majorHAnsi" w:eastAsiaTheme="majorEastAsia" w:hAnsiTheme="majorHAnsi" w:cstheme="majorBidi"/>
          <w:sz w:val="24"/>
          <w:szCs w:val="24"/>
        </w:rPr>
        <w:t>, η οποία αποφασίστηκε κατά τη Γενική Συνέλευση της 27</w:t>
      </w:r>
      <w:r w:rsidRPr="00756DF8">
        <w:rPr>
          <w:rFonts w:asciiTheme="majorHAnsi" w:eastAsiaTheme="majorEastAsia" w:hAnsiTheme="majorHAnsi" w:cstheme="majorBidi"/>
          <w:sz w:val="24"/>
          <w:szCs w:val="24"/>
          <w:vertAlign w:val="superscript"/>
        </w:rPr>
        <w:t>ης</w:t>
      </w:r>
      <w:r w:rsidRPr="00756DF8">
        <w:rPr>
          <w:rFonts w:asciiTheme="majorHAnsi" w:eastAsiaTheme="majorEastAsia" w:hAnsiTheme="majorHAnsi" w:cstheme="majorBidi"/>
          <w:sz w:val="24"/>
          <w:szCs w:val="24"/>
        </w:rPr>
        <w:t xml:space="preserve"> Απριλίου 2021. Η καταβολή μερίσματος ολοκληρώθηκε στις 11/05/2021.</w:t>
      </w:r>
    </w:p>
    <w:p w14:paraId="59647D76" w14:textId="51DF3403" w:rsidR="00354A3C" w:rsidRPr="00756DF8" w:rsidRDefault="00354A3C" w:rsidP="00D05996">
      <w:pPr>
        <w:pStyle w:val="a6"/>
        <w:numPr>
          <w:ilvl w:val="0"/>
          <w:numId w:val="6"/>
        </w:numPr>
        <w:jc w:val="both"/>
        <w:rPr>
          <w:rFonts w:asciiTheme="majorHAnsi" w:eastAsiaTheme="majorEastAsia" w:hAnsiTheme="majorHAnsi" w:cstheme="majorBidi"/>
          <w:sz w:val="24"/>
          <w:szCs w:val="24"/>
        </w:rPr>
      </w:pPr>
      <w:r w:rsidRPr="00354A3C">
        <w:rPr>
          <w:rFonts w:asciiTheme="majorHAnsi" w:eastAsiaTheme="majorEastAsia" w:hAnsiTheme="majorHAnsi" w:cstheme="majorBidi"/>
          <w:b/>
          <w:bCs/>
          <w:sz w:val="24"/>
          <w:szCs w:val="24"/>
        </w:rPr>
        <w:t>Εκλογή νέου Δ.Σ.</w:t>
      </w:r>
      <w:r w:rsidRPr="00354A3C">
        <w:rPr>
          <w:rFonts w:asciiTheme="majorHAnsi" w:eastAsiaTheme="majorEastAsia" w:hAnsiTheme="majorHAnsi" w:cstheme="majorBidi"/>
          <w:sz w:val="24"/>
          <w:szCs w:val="24"/>
        </w:rPr>
        <w:t xml:space="preserve"> πλήρους εναρμονισμένου με τη </w:t>
      </w:r>
      <w:r w:rsidRPr="00354A3C">
        <w:rPr>
          <w:rFonts w:asciiTheme="majorHAnsi" w:eastAsiaTheme="majorEastAsia" w:hAnsiTheme="majorHAnsi" w:cstheme="majorBidi"/>
          <w:b/>
          <w:bCs/>
          <w:sz w:val="24"/>
          <w:szCs w:val="24"/>
        </w:rPr>
        <w:t>Νέα Νομοθεσία</w:t>
      </w:r>
      <w:r w:rsidRPr="00354A3C">
        <w:rPr>
          <w:rFonts w:asciiTheme="majorHAnsi" w:eastAsiaTheme="majorEastAsia" w:hAnsiTheme="majorHAnsi" w:cstheme="majorBidi"/>
          <w:sz w:val="24"/>
          <w:szCs w:val="24"/>
        </w:rPr>
        <w:t>, N.4706/2020, για την Εταιρική Διακυβέρνηση</w:t>
      </w:r>
      <w:r w:rsidR="004D500D">
        <w:rPr>
          <w:rFonts w:asciiTheme="majorHAnsi" w:eastAsiaTheme="majorEastAsia" w:hAnsiTheme="majorHAnsi" w:cstheme="majorBidi"/>
          <w:sz w:val="24"/>
          <w:szCs w:val="24"/>
        </w:rPr>
        <w:t xml:space="preserve"> εισηγμένων σε οργανωμένη αγορά εταιριών</w:t>
      </w:r>
      <w:r w:rsidRPr="00354A3C">
        <w:rPr>
          <w:rFonts w:asciiTheme="majorHAnsi" w:eastAsiaTheme="majorEastAsia" w:hAnsiTheme="majorHAnsi" w:cstheme="majorBidi"/>
          <w:sz w:val="24"/>
          <w:szCs w:val="24"/>
        </w:rPr>
        <w:t>.</w:t>
      </w:r>
    </w:p>
    <w:p w14:paraId="7A571B20" w14:textId="77777777" w:rsidR="00354A3C" w:rsidRPr="00756DF8" w:rsidRDefault="00354A3C" w:rsidP="00D05996">
      <w:pPr>
        <w:pStyle w:val="a6"/>
        <w:numPr>
          <w:ilvl w:val="0"/>
          <w:numId w:val="6"/>
        </w:numPr>
        <w:jc w:val="both"/>
        <w:rPr>
          <w:rFonts w:asciiTheme="majorHAnsi" w:eastAsiaTheme="majorEastAsia" w:hAnsiTheme="majorHAnsi" w:cstheme="majorBidi"/>
          <w:sz w:val="24"/>
          <w:szCs w:val="24"/>
        </w:rPr>
      </w:pPr>
      <w:r w:rsidRPr="00354A3C">
        <w:rPr>
          <w:rFonts w:asciiTheme="majorHAnsi" w:eastAsiaTheme="majorEastAsia" w:hAnsiTheme="majorHAnsi" w:cstheme="majorBidi"/>
          <w:sz w:val="24"/>
          <w:szCs w:val="24"/>
        </w:rPr>
        <w:t xml:space="preserve">Ένταξη της Εταιρίας στο νέο </w:t>
      </w:r>
      <w:r w:rsidRPr="00354A3C">
        <w:rPr>
          <w:rFonts w:asciiTheme="majorHAnsi" w:eastAsiaTheme="majorEastAsia" w:hAnsiTheme="majorHAnsi" w:cstheme="majorBidi"/>
          <w:b/>
          <w:bCs/>
          <w:sz w:val="24"/>
          <w:szCs w:val="24"/>
        </w:rPr>
        <w:t xml:space="preserve">“Πράσινο” δείκτη ESG </w:t>
      </w:r>
      <w:r w:rsidRPr="00354A3C">
        <w:rPr>
          <w:rFonts w:asciiTheme="majorHAnsi" w:eastAsiaTheme="majorEastAsia" w:hAnsiTheme="majorHAnsi" w:cstheme="majorBidi"/>
          <w:sz w:val="24"/>
          <w:szCs w:val="24"/>
        </w:rPr>
        <w:t xml:space="preserve">του Χρηματιστηρίου Αθηνών. </w:t>
      </w:r>
    </w:p>
    <w:p w14:paraId="23D48311" w14:textId="1453AA4D" w:rsidR="00354A3C" w:rsidRPr="00756DF8" w:rsidRDefault="00354A3C" w:rsidP="00D05996">
      <w:pPr>
        <w:pStyle w:val="a6"/>
        <w:numPr>
          <w:ilvl w:val="0"/>
          <w:numId w:val="6"/>
        </w:numPr>
        <w:jc w:val="both"/>
        <w:rPr>
          <w:rFonts w:asciiTheme="majorHAnsi" w:eastAsiaTheme="majorEastAsia" w:hAnsiTheme="majorHAnsi" w:cstheme="majorBidi"/>
          <w:sz w:val="24"/>
          <w:szCs w:val="24"/>
        </w:rPr>
      </w:pPr>
      <w:r w:rsidRPr="00354A3C">
        <w:rPr>
          <w:rFonts w:asciiTheme="majorHAnsi" w:eastAsiaTheme="majorEastAsia" w:hAnsiTheme="majorHAnsi" w:cstheme="majorBidi"/>
          <w:sz w:val="24"/>
          <w:szCs w:val="24"/>
        </w:rPr>
        <w:t xml:space="preserve">Υλοποίηση πολυάριθμων δράσεων </w:t>
      </w:r>
      <w:r w:rsidRPr="00354A3C">
        <w:rPr>
          <w:rFonts w:asciiTheme="majorHAnsi" w:eastAsiaTheme="majorEastAsia" w:hAnsiTheme="majorHAnsi" w:cstheme="majorBidi"/>
          <w:b/>
          <w:bCs/>
          <w:sz w:val="24"/>
          <w:szCs w:val="24"/>
        </w:rPr>
        <w:t>Εταιρικής και Κοινωνικής Ευθύνης</w:t>
      </w:r>
      <w:r w:rsidRPr="00354A3C">
        <w:rPr>
          <w:rFonts w:asciiTheme="majorHAnsi" w:eastAsiaTheme="majorEastAsia" w:hAnsiTheme="majorHAnsi" w:cstheme="majorBidi"/>
          <w:sz w:val="24"/>
          <w:szCs w:val="24"/>
        </w:rPr>
        <w:t xml:space="preserve"> (</w:t>
      </w:r>
      <w:r w:rsidRPr="00354A3C">
        <w:rPr>
          <w:rFonts w:asciiTheme="majorHAnsi" w:eastAsiaTheme="majorEastAsia" w:hAnsiTheme="majorHAnsi" w:cstheme="majorBidi"/>
          <w:b/>
          <w:bCs/>
          <w:sz w:val="24"/>
          <w:szCs w:val="24"/>
        </w:rPr>
        <w:t>36 δράσεις μέσα στο πρώτο εν</w:t>
      </w:r>
      <w:r w:rsidR="008B3096">
        <w:rPr>
          <w:rFonts w:asciiTheme="majorHAnsi" w:eastAsiaTheme="majorEastAsia" w:hAnsiTheme="majorHAnsi" w:cstheme="majorBidi"/>
          <w:b/>
          <w:bCs/>
          <w:sz w:val="24"/>
          <w:szCs w:val="24"/>
        </w:rPr>
        <w:t>ν</w:t>
      </w:r>
      <w:r w:rsidR="004D500D">
        <w:rPr>
          <w:rFonts w:asciiTheme="majorHAnsi" w:eastAsiaTheme="majorEastAsia" w:hAnsiTheme="majorHAnsi" w:cstheme="majorBidi"/>
          <w:b/>
          <w:bCs/>
          <w:sz w:val="24"/>
          <w:szCs w:val="24"/>
        </w:rPr>
        <w:t>ε</w:t>
      </w:r>
      <w:r w:rsidRPr="00354A3C">
        <w:rPr>
          <w:rFonts w:asciiTheme="majorHAnsi" w:eastAsiaTheme="majorEastAsia" w:hAnsiTheme="majorHAnsi" w:cstheme="majorBidi"/>
          <w:b/>
          <w:bCs/>
          <w:sz w:val="24"/>
          <w:szCs w:val="24"/>
        </w:rPr>
        <w:t>άμηνο 2021</w:t>
      </w:r>
      <w:r w:rsidRPr="00354A3C">
        <w:rPr>
          <w:rFonts w:asciiTheme="majorHAnsi" w:eastAsiaTheme="majorEastAsia" w:hAnsiTheme="majorHAnsi" w:cstheme="majorBidi"/>
          <w:sz w:val="24"/>
          <w:szCs w:val="24"/>
        </w:rPr>
        <w:t>) σε μια περίοδο υγειονομικής κρίσης και οικονομικής αβεβαιότητας</w:t>
      </w:r>
      <w:r w:rsidR="004D500D">
        <w:rPr>
          <w:rFonts w:asciiTheme="majorHAnsi" w:eastAsiaTheme="majorEastAsia" w:hAnsiTheme="majorHAnsi" w:cstheme="majorBidi"/>
          <w:sz w:val="24"/>
          <w:szCs w:val="24"/>
        </w:rPr>
        <w:t>,</w:t>
      </w:r>
      <w:r w:rsidRPr="00354A3C">
        <w:rPr>
          <w:rFonts w:asciiTheme="majorHAnsi" w:eastAsiaTheme="majorEastAsia" w:hAnsiTheme="majorHAnsi" w:cstheme="majorBidi"/>
          <w:sz w:val="24"/>
          <w:szCs w:val="24"/>
        </w:rPr>
        <w:t xml:space="preserve"> όπου η συνεισφορά ήταν καθοριστική.</w:t>
      </w:r>
    </w:p>
    <w:p w14:paraId="655089B8" w14:textId="77777777" w:rsidR="00354A3C" w:rsidRPr="00756DF8" w:rsidRDefault="00354A3C" w:rsidP="00D05996">
      <w:pPr>
        <w:pStyle w:val="a6"/>
        <w:numPr>
          <w:ilvl w:val="0"/>
          <w:numId w:val="6"/>
        </w:numPr>
        <w:jc w:val="both"/>
        <w:rPr>
          <w:rFonts w:asciiTheme="majorHAnsi" w:eastAsiaTheme="majorEastAsia" w:hAnsiTheme="majorHAnsi" w:cstheme="majorBidi"/>
          <w:sz w:val="24"/>
          <w:szCs w:val="24"/>
        </w:rPr>
      </w:pPr>
      <w:r w:rsidRPr="00354A3C">
        <w:rPr>
          <w:rFonts w:asciiTheme="majorHAnsi" w:eastAsiaTheme="majorEastAsia" w:hAnsiTheme="majorHAnsi" w:cstheme="majorBidi"/>
          <w:sz w:val="24"/>
          <w:szCs w:val="24"/>
        </w:rPr>
        <w:t xml:space="preserve">Επιτυχής </w:t>
      </w:r>
      <w:r w:rsidRPr="00354A3C">
        <w:rPr>
          <w:rFonts w:asciiTheme="majorHAnsi" w:eastAsiaTheme="majorEastAsia" w:hAnsiTheme="majorHAnsi" w:cstheme="majorBidi"/>
          <w:b/>
          <w:bCs/>
          <w:sz w:val="24"/>
          <w:szCs w:val="24"/>
        </w:rPr>
        <w:t xml:space="preserve">ολοκλήρωση των </w:t>
      </w:r>
      <w:proofErr w:type="spellStart"/>
      <w:r w:rsidRPr="00354A3C">
        <w:rPr>
          <w:rFonts w:asciiTheme="majorHAnsi" w:eastAsiaTheme="majorEastAsia" w:hAnsiTheme="majorHAnsi" w:cstheme="majorBidi"/>
          <w:b/>
          <w:bCs/>
          <w:sz w:val="24"/>
          <w:szCs w:val="24"/>
        </w:rPr>
        <w:t>Τηλε</w:t>
      </w:r>
      <w:proofErr w:type="spellEnd"/>
      <w:r w:rsidRPr="00354A3C">
        <w:rPr>
          <w:rFonts w:asciiTheme="majorHAnsi" w:eastAsiaTheme="majorEastAsia" w:hAnsiTheme="majorHAnsi" w:cstheme="majorBidi"/>
          <w:b/>
          <w:bCs/>
          <w:sz w:val="24"/>
          <w:szCs w:val="24"/>
        </w:rPr>
        <w:t>-Συνεδρίων</w:t>
      </w:r>
      <w:r w:rsidRPr="00354A3C">
        <w:rPr>
          <w:rFonts w:asciiTheme="majorHAnsi" w:eastAsiaTheme="majorEastAsia" w:hAnsiTheme="majorHAnsi" w:cstheme="majorBidi"/>
          <w:sz w:val="24"/>
          <w:szCs w:val="24"/>
        </w:rPr>
        <w:t xml:space="preserve">, ενημερωτικού και εκπαιδευτικού χαρακτήρα, στα οποία </w:t>
      </w:r>
      <w:r w:rsidRPr="00354A3C">
        <w:rPr>
          <w:rFonts w:asciiTheme="majorHAnsi" w:eastAsiaTheme="majorEastAsia" w:hAnsiTheme="majorHAnsi" w:cstheme="majorBidi"/>
          <w:b/>
          <w:bCs/>
          <w:sz w:val="24"/>
          <w:szCs w:val="24"/>
        </w:rPr>
        <w:t xml:space="preserve">συμμετείχαν σχεδόν 2.000 Συνεργάτες </w:t>
      </w:r>
      <w:r w:rsidRPr="00354A3C">
        <w:rPr>
          <w:rFonts w:asciiTheme="majorHAnsi" w:eastAsiaTheme="majorEastAsia" w:hAnsiTheme="majorHAnsi" w:cstheme="majorBidi"/>
          <w:sz w:val="24"/>
          <w:szCs w:val="24"/>
        </w:rPr>
        <w:t>από τις Διευθύνσεις Πωλήσεων της Εταιρίας.</w:t>
      </w:r>
    </w:p>
    <w:p w14:paraId="59A441D3" w14:textId="77777777" w:rsidR="00354A3C" w:rsidRPr="00756DF8" w:rsidRDefault="00354A3C" w:rsidP="00D05996">
      <w:pPr>
        <w:pStyle w:val="a6"/>
        <w:numPr>
          <w:ilvl w:val="0"/>
          <w:numId w:val="6"/>
        </w:numPr>
        <w:jc w:val="both"/>
        <w:rPr>
          <w:rFonts w:asciiTheme="majorHAnsi" w:eastAsiaTheme="majorEastAsia" w:hAnsiTheme="majorHAnsi" w:cstheme="majorBidi"/>
          <w:sz w:val="24"/>
          <w:szCs w:val="24"/>
        </w:rPr>
      </w:pPr>
      <w:r w:rsidRPr="00354A3C">
        <w:rPr>
          <w:rFonts w:asciiTheme="majorHAnsi" w:eastAsiaTheme="majorEastAsia" w:hAnsiTheme="majorHAnsi" w:cstheme="majorBidi"/>
          <w:b/>
          <w:bCs/>
          <w:sz w:val="24"/>
          <w:szCs w:val="24"/>
        </w:rPr>
        <w:t>Βράβευση της Εταιρίας</w:t>
      </w:r>
      <w:r w:rsidRPr="00354A3C">
        <w:rPr>
          <w:rFonts w:asciiTheme="majorHAnsi" w:eastAsiaTheme="majorEastAsia" w:hAnsiTheme="majorHAnsi" w:cstheme="majorBidi"/>
          <w:sz w:val="24"/>
          <w:szCs w:val="24"/>
        </w:rPr>
        <w:t xml:space="preserve"> με </w:t>
      </w:r>
      <w:proofErr w:type="spellStart"/>
      <w:r w:rsidRPr="00354A3C">
        <w:rPr>
          <w:rFonts w:asciiTheme="majorHAnsi" w:eastAsiaTheme="majorEastAsia" w:hAnsiTheme="majorHAnsi" w:cstheme="majorBidi"/>
          <w:b/>
          <w:bCs/>
          <w:sz w:val="24"/>
          <w:szCs w:val="24"/>
        </w:rPr>
        <w:t>Bronze</w:t>
      </w:r>
      <w:proofErr w:type="spellEnd"/>
      <w:r w:rsidRPr="00354A3C">
        <w:rPr>
          <w:rFonts w:asciiTheme="majorHAnsi" w:eastAsiaTheme="majorEastAsia" w:hAnsiTheme="majorHAnsi" w:cstheme="majorBidi"/>
          <w:b/>
          <w:bCs/>
          <w:sz w:val="24"/>
          <w:szCs w:val="24"/>
        </w:rPr>
        <w:t xml:space="preserve"> βραβείο</w:t>
      </w:r>
      <w:r w:rsidRPr="00354A3C">
        <w:rPr>
          <w:rFonts w:asciiTheme="majorHAnsi" w:eastAsiaTheme="majorEastAsia" w:hAnsiTheme="majorHAnsi" w:cstheme="majorBidi"/>
          <w:sz w:val="24"/>
          <w:szCs w:val="24"/>
        </w:rPr>
        <w:t xml:space="preserve"> για το europaikipisti.gr στα </w:t>
      </w:r>
      <w:proofErr w:type="spellStart"/>
      <w:r w:rsidRPr="00354A3C">
        <w:rPr>
          <w:rFonts w:asciiTheme="majorHAnsi" w:eastAsiaTheme="majorEastAsia" w:hAnsiTheme="majorHAnsi" w:cstheme="majorBidi"/>
          <w:sz w:val="24"/>
          <w:szCs w:val="24"/>
        </w:rPr>
        <w:t>Impact</w:t>
      </w:r>
      <w:proofErr w:type="spellEnd"/>
      <w:r w:rsidRPr="00354A3C">
        <w:rPr>
          <w:rFonts w:asciiTheme="majorHAnsi" w:eastAsiaTheme="majorEastAsia" w:hAnsiTheme="majorHAnsi" w:cstheme="majorBidi"/>
          <w:sz w:val="24"/>
          <w:szCs w:val="24"/>
        </w:rPr>
        <w:t xml:space="preserve"> BITE Awards.</w:t>
      </w:r>
    </w:p>
    <w:p w14:paraId="2D2F5262" w14:textId="77777777" w:rsidR="00354A3C" w:rsidRPr="00756DF8" w:rsidRDefault="00354A3C" w:rsidP="00D05996">
      <w:pPr>
        <w:pStyle w:val="a6"/>
        <w:numPr>
          <w:ilvl w:val="0"/>
          <w:numId w:val="6"/>
        </w:numPr>
        <w:jc w:val="both"/>
        <w:rPr>
          <w:rFonts w:asciiTheme="majorHAnsi" w:eastAsiaTheme="majorEastAsia" w:hAnsiTheme="majorHAnsi" w:cstheme="majorBidi"/>
          <w:sz w:val="24"/>
          <w:szCs w:val="24"/>
        </w:rPr>
      </w:pPr>
      <w:r w:rsidRPr="00354A3C">
        <w:rPr>
          <w:rFonts w:asciiTheme="majorHAnsi" w:eastAsiaTheme="majorEastAsia" w:hAnsiTheme="majorHAnsi" w:cstheme="majorBidi"/>
          <w:b/>
          <w:bCs/>
          <w:sz w:val="24"/>
          <w:szCs w:val="24"/>
        </w:rPr>
        <w:t>Διπλή διάκριση</w:t>
      </w:r>
      <w:r w:rsidRPr="00354A3C">
        <w:rPr>
          <w:rFonts w:asciiTheme="majorHAnsi" w:eastAsiaTheme="majorEastAsia" w:hAnsiTheme="majorHAnsi" w:cstheme="majorBidi"/>
          <w:sz w:val="24"/>
          <w:szCs w:val="24"/>
        </w:rPr>
        <w:t xml:space="preserve"> στα βραβεία “Οι Χρυσοί Πρωταγωνιστές της Ελληνικής Οικονομίας 2010 – 2020”.</w:t>
      </w:r>
    </w:p>
    <w:p w14:paraId="4C2D4694" w14:textId="77777777" w:rsidR="00354A3C" w:rsidRPr="00756DF8" w:rsidRDefault="00354A3C" w:rsidP="00D05996">
      <w:pPr>
        <w:pStyle w:val="a6"/>
        <w:numPr>
          <w:ilvl w:val="0"/>
          <w:numId w:val="6"/>
        </w:numPr>
        <w:jc w:val="both"/>
        <w:rPr>
          <w:rFonts w:asciiTheme="majorHAnsi" w:eastAsiaTheme="majorEastAsia" w:hAnsiTheme="majorHAnsi" w:cstheme="majorBidi"/>
          <w:sz w:val="24"/>
          <w:szCs w:val="24"/>
        </w:rPr>
      </w:pPr>
      <w:r w:rsidRPr="00354A3C">
        <w:rPr>
          <w:rFonts w:asciiTheme="majorHAnsi" w:eastAsiaTheme="majorEastAsia" w:hAnsiTheme="majorHAnsi" w:cstheme="majorBidi"/>
          <w:b/>
          <w:bCs/>
          <w:sz w:val="24"/>
          <w:szCs w:val="24"/>
        </w:rPr>
        <w:t xml:space="preserve">Διάκριση στα </w:t>
      </w:r>
      <w:proofErr w:type="spellStart"/>
      <w:r w:rsidRPr="00354A3C">
        <w:rPr>
          <w:rFonts w:asciiTheme="majorHAnsi" w:eastAsiaTheme="majorEastAsia" w:hAnsiTheme="majorHAnsi" w:cstheme="majorBidi"/>
          <w:b/>
          <w:bCs/>
          <w:sz w:val="24"/>
          <w:szCs w:val="24"/>
        </w:rPr>
        <w:t>Bravo</w:t>
      </w:r>
      <w:proofErr w:type="spellEnd"/>
      <w:r w:rsidRPr="00354A3C">
        <w:rPr>
          <w:rFonts w:asciiTheme="majorHAnsi" w:eastAsiaTheme="majorEastAsia" w:hAnsiTheme="majorHAnsi" w:cstheme="majorBidi"/>
          <w:b/>
          <w:bCs/>
          <w:sz w:val="24"/>
          <w:szCs w:val="24"/>
        </w:rPr>
        <w:t xml:space="preserve"> </w:t>
      </w:r>
      <w:proofErr w:type="spellStart"/>
      <w:r w:rsidRPr="00354A3C">
        <w:rPr>
          <w:rFonts w:asciiTheme="majorHAnsi" w:eastAsiaTheme="majorEastAsia" w:hAnsiTheme="majorHAnsi" w:cstheme="majorBidi"/>
          <w:b/>
          <w:bCs/>
          <w:sz w:val="24"/>
          <w:szCs w:val="24"/>
        </w:rPr>
        <w:t>Sustainability</w:t>
      </w:r>
      <w:proofErr w:type="spellEnd"/>
      <w:r w:rsidRPr="00354A3C">
        <w:rPr>
          <w:rFonts w:asciiTheme="majorHAnsi" w:eastAsiaTheme="majorEastAsia" w:hAnsiTheme="majorHAnsi" w:cstheme="majorBidi"/>
          <w:b/>
          <w:bCs/>
          <w:sz w:val="24"/>
          <w:szCs w:val="24"/>
        </w:rPr>
        <w:t xml:space="preserve"> </w:t>
      </w:r>
      <w:proofErr w:type="spellStart"/>
      <w:r w:rsidRPr="00354A3C">
        <w:rPr>
          <w:rFonts w:asciiTheme="majorHAnsi" w:eastAsiaTheme="majorEastAsia" w:hAnsiTheme="majorHAnsi" w:cstheme="majorBidi"/>
          <w:b/>
          <w:bCs/>
          <w:sz w:val="24"/>
          <w:szCs w:val="24"/>
        </w:rPr>
        <w:t>Dialogues</w:t>
      </w:r>
      <w:proofErr w:type="spellEnd"/>
      <w:r w:rsidRPr="00354A3C">
        <w:rPr>
          <w:rFonts w:asciiTheme="majorHAnsi" w:eastAsiaTheme="majorEastAsia" w:hAnsiTheme="majorHAnsi" w:cstheme="majorBidi"/>
          <w:b/>
          <w:bCs/>
          <w:sz w:val="24"/>
          <w:szCs w:val="24"/>
        </w:rPr>
        <w:t xml:space="preserve"> &amp; Awards 2021</w:t>
      </w:r>
      <w:r w:rsidRPr="00354A3C">
        <w:rPr>
          <w:rFonts w:asciiTheme="majorHAnsi" w:eastAsiaTheme="majorEastAsia" w:hAnsiTheme="majorHAnsi" w:cstheme="majorBidi"/>
          <w:sz w:val="24"/>
          <w:szCs w:val="24"/>
        </w:rPr>
        <w:t>, για την πρωτοβουλία «Αποτροπή Απάτης &amp; Πάταξη της Διαφθοράς.</w:t>
      </w:r>
    </w:p>
    <w:p w14:paraId="5DCAF9F4" w14:textId="5836DF9C" w:rsidR="00652CF2" w:rsidRPr="00756DF8" w:rsidRDefault="00354A3C" w:rsidP="00D05996">
      <w:pPr>
        <w:pStyle w:val="a6"/>
        <w:numPr>
          <w:ilvl w:val="0"/>
          <w:numId w:val="6"/>
        </w:numPr>
        <w:jc w:val="both"/>
        <w:rPr>
          <w:rFonts w:asciiTheme="majorHAnsi" w:eastAsiaTheme="majorEastAsia" w:hAnsiTheme="majorHAnsi" w:cstheme="majorBidi"/>
          <w:sz w:val="24"/>
          <w:szCs w:val="24"/>
        </w:rPr>
      </w:pPr>
      <w:r w:rsidRPr="00756DF8">
        <w:rPr>
          <w:rFonts w:asciiTheme="majorHAnsi" w:eastAsiaTheme="majorEastAsia" w:hAnsiTheme="majorHAnsi" w:cstheme="majorBidi"/>
          <w:b/>
          <w:bCs/>
          <w:sz w:val="24"/>
          <w:szCs w:val="24"/>
        </w:rPr>
        <w:t>Διπλή διάκριση</w:t>
      </w:r>
      <w:r w:rsidRPr="00756DF8">
        <w:rPr>
          <w:rFonts w:asciiTheme="majorHAnsi" w:eastAsiaTheme="majorEastAsia" w:hAnsiTheme="majorHAnsi" w:cstheme="majorBidi"/>
          <w:sz w:val="24"/>
          <w:szCs w:val="24"/>
        </w:rPr>
        <w:t xml:space="preserve"> της Εταιρίας στα «Επιχειρηματικά Βραβεία ΧΡΗΜΑ 2020».</w:t>
      </w:r>
    </w:p>
    <w:p w14:paraId="096266DB" w14:textId="1A717045" w:rsidR="00F87003" w:rsidRPr="00756DF8" w:rsidRDefault="00652CF2" w:rsidP="00D05996">
      <w:pPr>
        <w:jc w:val="both"/>
        <w:rPr>
          <w:rFonts w:ascii="72 Black" w:eastAsiaTheme="majorEastAsia" w:hAnsi="72 Black" w:cs="72 Black"/>
        </w:rPr>
      </w:pPr>
      <w:r w:rsidRPr="00756DF8">
        <w:rPr>
          <w:rFonts w:ascii="72 Black" w:eastAsiaTheme="majorEastAsia" w:hAnsi="72 Black" w:cs="72 Black"/>
        </w:rPr>
        <w:t>Εκτίμηση της επίδρασης της πανδημίας και προοπτικές</w:t>
      </w:r>
    </w:p>
    <w:p w14:paraId="1F109EBA" w14:textId="02DA5E15" w:rsidR="00F87003" w:rsidRPr="00756DF8" w:rsidRDefault="00354A3C" w:rsidP="00D05996">
      <w:pPr>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Για την εκδήλωση και την πορεία της πανδημίας Covid-19, η Εταιρία έχει εξετάσει τον οικονομικό και υγειονομικό αντίκτυπο. </w:t>
      </w:r>
      <w:r w:rsidR="00F87003" w:rsidRPr="00756DF8">
        <w:rPr>
          <w:rFonts w:asciiTheme="majorHAnsi" w:eastAsiaTheme="majorEastAsia" w:hAnsiTheme="majorHAnsi" w:cstheme="majorBidi"/>
          <w:sz w:val="24"/>
          <w:szCs w:val="24"/>
        </w:rPr>
        <w:t xml:space="preserve">Αξίζει να σημειωθεί ότι σύμφωνα με τις εκτιμήσεις της Διοίκησης, τα μέχρι τώρα στοιχεία δείχνουν ότι δεν </w:t>
      </w:r>
      <w:r w:rsidR="00B168C1">
        <w:rPr>
          <w:rFonts w:asciiTheme="majorHAnsi" w:eastAsiaTheme="majorEastAsia" w:hAnsiTheme="majorHAnsi" w:cstheme="majorBidi"/>
          <w:sz w:val="24"/>
          <w:szCs w:val="24"/>
        </w:rPr>
        <w:t xml:space="preserve">έχει </w:t>
      </w:r>
      <w:r w:rsidR="00F87003" w:rsidRPr="00756DF8">
        <w:rPr>
          <w:rFonts w:asciiTheme="majorHAnsi" w:eastAsiaTheme="majorEastAsia" w:hAnsiTheme="majorHAnsi" w:cstheme="majorBidi"/>
          <w:sz w:val="24"/>
          <w:szCs w:val="24"/>
        </w:rPr>
        <w:t>υπάρξει σημαντική επίδραση στα κύρια οικονομικά μεγέθη της Εταιρίας για το έτος 2021 από την πανδημία του Covid-19.</w:t>
      </w:r>
      <w:r w:rsidR="00752680" w:rsidRPr="00756DF8">
        <w:rPr>
          <w:rFonts w:asciiTheme="majorHAnsi" w:eastAsiaTheme="majorEastAsia" w:hAnsiTheme="majorHAnsi" w:cstheme="majorBidi"/>
          <w:sz w:val="24"/>
          <w:szCs w:val="24"/>
        </w:rPr>
        <w:t xml:space="preserve"> </w:t>
      </w:r>
      <w:r w:rsidR="00B168C1">
        <w:rPr>
          <w:rFonts w:asciiTheme="majorHAnsi" w:eastAsiaTheme="majorEastAsia" w:hAnsiTheme="majorHAnsi" w:cstheme="majorBidi"/>
          <w:sz w:val="24"/>
          <w:szCs w:val="24"/>
        </w:rPr>
        <w:t xml:space="preserve">Για το 2021 παραμένουν οι στόχοι όπως έχουν τεθεί στο Επιχειρηματικό Σχέδιο της Εταιρίας, ως εξής: </w:t>
      </w:r>
    </w:p>
    <w:p w14:paraId="5BA5FDC4" w14:textId="677AE8D5" w:rsidR="00F87003" w:rsidRPr="00756DF8" w:rsidRDefault="00EF59D7" w:rsidP="00D05996">
      <w:pPr>
        <w:pStyle w:val="a6"/>
        <w:numPr>
          <w:ilvl w:val="0"/>
          <w:numId w:val="5"/>
        </w:numPr>
        <w:spacing w:line="259" w:lineRule="auto"/>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Στόχος α</w:t>
      </w:r>
      <w:r w:rsidR="00F87003" w:rsidRPr="00756DF8">
        <w:rPr>
          <w:rFonts w:asciiTheme="majorHAnsi" w:eastAsiaTheme="majorEastAsia" w:hAnsiTheme="majorHAnsi" w:cstheme="majorBidi"/>
          <w:sz w:val="24"/>
          <w:szCs w:val="24"/>
        </w:rPr>
        <w:t>ύξηση</w:t>
      </w:r>
      <w:r w:rsidRPr="00756DF8">
        <w:rPr>
          <w:rFonts w:asciiTheme="majorHAnsi" w:eastAsiaTheme="majorEastAsia" w:hAnsiTheme="majorHAnsi" w:cstheme="majorBidi"/>
          <w:sz w:val="24"/>
          <w:szCs w:val="24"/>
        </w:rPr>
        <w:t>ς</w:t>
      </w:r>
      <w:r w:rsidR="00F87003" w:rsidRPr="00756DF8">
        <w:rPr>
          <w:rFonts w:asciiTheme="majorHAnsi" w:eastAsiaTheme="majorEastAsia" w:hAnsiTheme="majorHAnsi" w:cstheme="majorBidi"/>
          <w:sz w:val="24"/>
          <w:szCs w:val="24"/>
        </w:rPr>
        <w:t xml:space="preserve"> της Καθαρής Παραγωγής </w:t>
      </w:r>
      <w:r w:rsidRPr="00756DF8">
        <w:rPr>
          <w:rFonts w:asciiTheme="majorHAnsi" w:eastAsiaTheme="majorEastAsia" w:hAnsiTheme="majorHAnsi" w:cstheme="majorBidi"/>
          <w:sz w:val="24"/>
          <w:szCs w:val="24"/>
        </w:rPr>
        <w:t xml:space="preserve">κατά </w:t>
      </w:r>
      <w:r w:rsidR="00F87003" w:rsidRPr="00756DF8">
        <w:rPr>
          <w:rFonts w:asciiTheme="majorHAnsi" w:eastAsiaTheme="majorEastAsia" w:hAnsiTheme="majorHAnsi" w:cstheme="majorBidi"/>
          <w:sz w:val="24"/>
          <w:szCs w:val="24"/>
        </w:rPr>
        <w:t>5,</w:t>
      </w:r>
      <w:r w:rsidRPr="00756DF8">
        <w:rPr>
          <w:rFonts w:asciiTheme="majorHAnsi" w:eastAsiaTheme="majorEastAsia" w:hAnsiTheme="majorHAnsi" w:cstheme="majorBidi"/>
          <w:sz w:val="24"/>
          <w:szCs w:val="24"/>
        </w:rPr>
        <w:t>3</w:t>
      </w:r>
      <w:r w:rsidR="00F87003" w:rsidRPr="00756DF8">
        <w:rPr>
          <w:rFonts w:asciiTheme="majorHAnsi" w:eastAsiaTheme="majorEastAsia" w:hAnsiTheme="majorHAnsi" w:cstheme="majorBidi"/>
          <w:sz w:val="24"/>
          <w:szCs w:val="24"/>
        </w:rPr>
        <w:t>% και διατήρηση της κερδοφορίας σε υψηλά επίπεδα.</w:t>
      </w:r>
    </w:p>
    <w:p w14:paraId="0A052AE3" w14:textId="2F5261B5" w:rsidR="00F87003" w:rsidRPr="00756DF8" w:rsidRDefault="00EF59D7" w:rsidP="00D05996">
      <w:pPr>
        <w:pStyle w:val="a6"/>
        <w:numPr>
          <w:ilvl w:val="0"/>
          <w:numId w:val="5"/>
        </w:numPr>
        <w:spacing w:line="259" w:lineRule="auto"/>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Στόχος κόστους πρόσκτησης του Κλάδου Αυτοκινήτων </w:t>
      </w:r>
      <w:r w:rsidR="00F9654F" w:rsidRPr="00756DF8">
        <w:rPr>
          <w:rFonts w:asciiTheme="majorHAnsi" w:eastAsiaTheme="majorEastAsia" w:hAnsiTheme="majorHAnsi" w:cstheme="majorBidi"/>
          <w:sz w:val="24"/>
          <w:szCs w:val="24"/>
        </w:rPr>
        <w:t>σε επίπεδα μικρότερα του 20,5%</w:t>
      </w:r>
      <w:r w:rsidR="004D500D">
        <w:rPr>
          <w:rFonts w:asciiTheme="majorHAnsi" w:eastAsiaTheme="majorEastAsia" w:hAnsiTheme="majorHAnsi" w:cstheme="majorBidi"/>
          <w:sz w:val="24"/>
          <w:szCs w:val="24"/>
        </w:rPr>
        <w:t>.</w:t>
      </w:r>
    </w:p>
    <w:p w14:paraId="034B0269" w14:textId="582DE79C" w:rsidR="00F87003" w:rsidRPr="00756DF8" w:rsidRDefault="00F9654F" w:rsidP="00D05996">
      <w:pPr>
        <w:pStyle w:val="a6"/>
        <w:numPr>
          <w:ilvl w:val="0"/>
          <w:numId w:val="5"/>
        </w:numPr>
        <w:spacing w:line="259" w:lineRule="auto"/>
        <w:jc w:val="both"/>
        <w:rPr>
          <w:rFonts w:asciiTheme="majorHAnsi" w:eastAsiaTheme="majorEastAsia" w:hAnsiTheme="majorHAnsi" w:cstheme="majorBidi"/>
          <w:sz w:val="24"/>
          <w:szCs w:val="24"/>
        </w:rPr>
      </w:pPr>
      <w:r w:rsidRPr="00F9654F">
        <w:rPr>
          <w:rFonts w:asciiTheme="majorHAnsi" w:eastAsiaTheme="majorEastAsia" w:hAnsiTheme="majorHAnsi" w:cstheme="majorBidi"/>
          <w:sz w:val="24"/>
          <w:szCs w:val="24"/>
        </w:rPr>
        <w:lastRenderedPageBreak/>
        <w:t>Στόχος κόστους λειτουργίας ως (%) Καθαρών Ασφαλίστρων</w:t>
      </w:r>
      <w:r w:rsidR="00F87003" w:rsidRPr="00756DF8">
        <w:rPr>
          <w:rFonts w:asciiTheme="majorHAnsi" w:eastAsiaTheme="majorEastAsia" w:hAnsiTheme="majorHAnsi" w:cstheme="majorBidi"/>
          <w:sz w:val="24"/>
          <w:szCs w:val="24"/>
        </w:rPr>
        <w:t xml:space="preserve"> &lt;14%.</w:t>
      </w:r>
    </w:p>
    <w:p w14:paraId="6FA8359B" w14:textId="22B19A2F" w:rsidR="00F87003" w:rsidRPr="00756DF8" w:rsidRDefault="00F9654F" w:rsidP="00D05996">
      <w:pPr>
        <w:pStyle w:val="a6"/>
        <w:numPr>
          <w:ilvl w:val="0"/>
          <w:numId w:val="5"/>
        </w:numPr>
        <w:spacing w:line="259" w:lineRule="auto"/>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Στόχος του Δείκτη Ζ</w:t>
      </w:r>
      <w:r w:rsidR="00F87003" w:rsidRPr="00756DF8">
        <w:rPr>
          <w:rFonts w:asciiTheme="majorHAnsi" w:eastAsiaTheme="majorEastAsia" w:hAnsiTheme="majorHAnsi" w:cstheme="majorBidi"/>
          <w:sz w:val="24"/>
          <w:szCs w:val="24"/>
        </w:rPr>
        <w:t>ημι</w:t>
      </w:r>
      <w:r w:rsidRPr="00756DF8">
        <w:rPr>
          <w:rFonts w:asciiTheme="majorHAnsi" w:eastAsiaTheme="majorEastAsia" w:hAnsiTheme="majorHAnsi" w:cstheme="majorBidi"/>
          <w:sz w:val="24"/>
          <w:szCs w:val="24"/>
        </w:rPr>
        <w:t>ών</w:t>
      </w:r>
      <w:r w:rsidR="00F87003" w:rsidRPr="00756DF8">
        <w:rPr>
          <w:rFonts w:asciiTheme="majorHAnsi" w:eastAsiaTheme="majorEastAsia" w:hAnsiTheme="majorHAnsi" w:cstheme="majorBidi"/>
          <w:sz w:val="24"/>
          <w:szCs w:val="24"/>
        </w:rPr>
        <w:t xml:space="preserve"> του Κλάδου Αυτοκινήτων &lt;60%.</w:t>
      </w:r>
    </w:p>
    <w:p w14:paraId="228BD88D" w14:textId="19F4B2C1" w:rsidR="00F9654F" w:rsidRPr="00756DF8" w:rsidRDefault="00F9654F" w:rsidP="00D05996">
      <w:pPr>
        <w:pStyle w:val="a6"/>
        <w:numPr>
          <w:ilvl w:val="0"/>
          <w:numId w:val="5"/>
        </w:numPr>
        <w:spacing w:line="259" w:lineRule="auto"/>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Στόχος του Δείκτη Ζημιών των Λοιπών Γενικών Κλάδων &lt;35%.</w:t>
      </w:r>
    </w:p>
    <w:p w14:paraId="5B7A53EE" w14:textId="300D83B9" w:rsidR="00F9654F" w:rsidRPr="00756DF8" w:rsidRDefault="00F9654F" w:rsidP="00D05996">
      <w:pPr>
        <w:pStyle w:val="a6"/>
        <w:numPr>
          <w:ilvl w:val="0"/>
          <w:numId w:val="5"/>
        </w:numPr>
        <w:spacing w:line="259" w:lineRule="auto"/>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Στόχος του Δείκτη Ζημιών του Κλάδου Ζωής Ομαδικών &lt;70%.</w:t>
      </w:r>
    </w:p>
    <w:p w14:paraId="26793E0B" w14:textId="68B91660" w:rsidR="009007BF" w:rsidRPr="00756DF8" w:rsidRDefault="009007BF" w:rsidP="00D05996">
      <w:pPr>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Κατά την εμφάνιση της πανδημίας, </w:t>
      </w:r>
      <w:r w:rsidR="00752680" w:rsidRPr="00756DF8">
        <w:rPr>
          <w:rFonts w:asciiTheme="majorHAnsi" w:eastAsiaTheme="majorEastAsia" w:hAnsiTheme="majorHAnsi" w:cstheme="majorBidi"/>
          <w:sz w:val="24"/>
          <w:szCs w:val="24"/>
        </w:rPr>
        <w:t xml:space="preserve">η Διοίκηση του Ομίλου </w:t>
      </w:r>
      <w:r w:rsidRPr="00756DF8">
        <w:rPr>
          <w:rFonts w:asciiTheme="majorHAnsi" w:eastAsiaTheme="majorEastAsia" w:hAnsiTheme="majorHAnsi" w:cstheme="majorBidi"/>
          <w:sz w:val="24"/>
          <w:szCs w:val="24"/>
        </w:rPr>
        <w:t xml:space="preserve">Ευρωπαϊκή Πίστη </w:t>
      </w:r>
      <w:r w:rsidR="00752680" w:rsidRPr="00756DF8">
        <w:rPr>
          <w:rFonts w:asciiTheme="majorHAnsi" w:eastAsiaTheme="majorEastAsia" w:hAnsiTheme="majorHAnsi" w:cstheme="majorBidi"/>
          <w:sz w:val="24"/>
          <w:szCs w:val="24"/>
        </w:rPr>
        <w:t xml:space="preserve">προχώρησε άμεσα σε ενεργοποίηση της ομάδας αντιμετώπισης κρίσεων εξετάζοντας σε διαρκή βάση τη ρευστότητα και τις επιπτώσεις του Covid - 19 στα χρηματοοικονομικά μεγέθη του Ομίλου. </w:t>
      </w:r>
    </w:p>
    <w:p w14:paraId="581D4B15" w14:textId="6249ADB5" w:rsidR="009A77D8" w:rsidRDefault="00752680" w:rsidP="00D05996">
      <w:pPr>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Για την καλύτερη προετοιμασία, διενεργούνται ανά τακτά χρονικά διαστήματα αναλύσεις ευαισθησίας και </w:t>
      </w:r>
      <w:proofErr w:type="spellStart"/>
      <w:r w:rsidRPr="00756DF8">
        <w:rPr>
          <w:rFonts w:asciiTheme="majorHAnsi" w:eastAsiaTheme="majorEastAsia" w:hAnsiTheme="majorHAnsi" w:cstheme="majorBidi"/>
          <w:sz w:val="24"/>
          <w:szCs w:val="24"/>
        </w:rPr>
        <w:t>stress</w:t>
      </w:r>
      <w:proofErr w:type="spellEnd"/>
      <w:r w:rsidRPr="00756DF8">
        <w:rPr>
          <w:rFonts w:asciiTheme="majorHAnsi" w:eastAsiaTheme="majorEastAsia" w:hAnsiTheme="majorHAnsi" w:cstheme="majorBidi"/>
          <w:sz w:val="24"/>
          <w:szCs w:val="24"/>
        </w:rPr>
        <w:t xml:space="preserve"> </w:t>
      </w:r>
      <w:proofErr w:type="spellStart"/>
      <w:r w:rsidRPr="00756DF8">
        <w:rPr>
          <w:rFonts w:asciiTheme="majorHAnsi" w:eastAsiaTheme="majorEastAsia" w:hAnsiTheme="majorHAnsi" w:cstheme="majorBidi"/>
          <w:sz w:val="24"/>
          <w:szCs w:val="24"/>
        </w:rPr>
        <w:t>tests</w:t>
      </w:r>
      <w:proofErr w:type="spellEnd"/>
      <w:r w:rsidRPr="00756DF8">
        <w:rPr>
          <w:rFonts w:asciiTheme="majorHAnsi" w:eastAsiaTheme="majorEastAsia" w:hAnsiTheme="majorHAnsi" w:cstheme="majorBidi"/>
          <w:sz w:val="24"/>
          <w:szCs w:val="24"/>
        </w:rPr>
        <w:t xml:space="preserve"> στα χρηματοοικονομικά μεγέθη του Ομίλου ακόμα και σε ακραία σενάρια. Σε όλα τα προαναφερόμενα σενάρια τόσο οι Δείκτες Φερεγγυότητας όσο και η </w:t>
      </w:r>
      <w:r w:rsidRPr="00262D1A">
        <w:rPr>
          <w:rFonts w:asciiTheme="majorHAnsi" w:eastAsiaTheme="majorEastAsia" w:hAnsiTheme="majorHAnsi" w:cstheme="majorBidi"/>
          <w:sz w:val="24"/>
          <w:szCs w:val="24"/>
        </w:rPr>
        <w:t>ρευστότητα παραμένουν σε υψηλά επίπεδα</w:t>
      </w:r>
      <w:r w:rsidR="004D500D">
        <w:rPr>
          <w:rFonts w:asciiTheme="majorHAnsi" w:eastAsiaTheme="majorEastAsia" w:hAnsiTheme="majorHAnsi" w:cstheme="majorBidi"/>
          <w:sz w:val="24"/>
          <w:szCs w:val="24"/>
        </w:rPr>
        <w:t>,</w:t>
      </w:r>
      <w:r w:rsidRPr="00262D1A">
        <w:rPr>
          <w:rFonts w:asciiTheme="majorHAnsi" w:eastAsiaTheme="majorEastAsia" w:hAnsiTheme="majorHAnsi" w:cstheme="majorBidi"/>
          <w:sz w:val="24"/>
          <w:szCs w:val="24"/>
        </w:rPr>
        <w:t xml:space="preserve"> ενώ η Διοίκηση του Ομίλου έχει σχεδιάσει μια σειρά από προληπτικές ενέργειες για την αντιμετώπιση των ενδεχόμενων κινδύνων.</w:t>
      </w:r>
      <w:r w:rsidR="00B168C1" w:rsidRPr="00262D1A">
        <w:rPr>
          <w:rFonts w:asciiTheme="majorHAnsi" w:eastAsiaTheme="majorEastAsia" w:hAnsiTheme="majorHAnsi" w:cstheme="majorBidi"/>
          <w:sz w:val="24"/>
          <w:szCs w:val="24"/>
        </w:rPr>
        <w:t xml:space="preserve"> </w:t>
      </w:r>
    </w:p>
    <w:p w14:paraId="5BB4429B" w14:textId="0C690AA4" w:rsidR="001E31C9" w:rsidRDefault="00B168C1" w:rsidP="00D05996">
      <w:pPr>
        <w:jc w:val="both"/>
        <w:rPr>
          <w:rFonts w:asciiTheme="majorHAnsi" w:eastAsiaTheme="majorEastAsia" w:hAnsiTheme="majorHAnsi" w:cstheme="majorBidi"/>
          <w:sz w:val="24"/>
          <w:szCs w:val="24"/>
        </w:rPr>
      </w:pPr>
      <w:r w:rsidRPr="00262D1A">
        <w:rPr>
          <w:rFonts w:asciiTheme="majorHAnsi" w:eastAsiaTheme="majorEastAsia" w:hAnsiTheme="majorHAnsi" w:cstheme="majorBidi"/>
          <w:sz w:val="24"/>
          <w:szCs w:val="24"/>
        </w:rPr>
        <w:t xml:space="preserve">Σημαντικό να αναφερθεί ότι </w:t>
      </w:r>
      <w:r w:rsidR="002E3ADE">
        <w:rPr>
          <w:rFonts w:asciiTheme="majorHAnsi" w:eastAsiaTheme="majorEastAsia" w:hAnsiTheme="majorHAnsi" w:cstheme="majorBidi"/>
          <w:sz w:val="24"/>
          <w:szCs w:val="24"/>
        </w:rPr>
        <w:t xml:space="preserve">στις 22/09/2021, </w:t>
      </w:r>
      <w:r w:rsidRPr="00262D1A">
        <w:rPr>
          <w:rFonts w:asciiTheme="majorHAnsi" w:eastAsiaTheme="majorEastAsia" w:hAnsiTheme="majorHAnsi" w:cstheme="majorBidi"/>
          <w:sz w:val="24"/>
          <w:szCs w:val="24"/>
        </w:rPr>
        <w:t xml:space="preserve">η Εταιρία </w:t>
      </w:r>
      <w:r w:rsidR="00262D1A" w:rsidRPr="00262D1A">
        <w:rPr>
          <w:rFonts w:asciiTheme="majorHAnsi" w:eastAsiaTheme="majorEastAsia" w:hAnsiTheme="majorHAnsi" w:cstheme="majorBidi"/>
          <w:sz w:val="24"/>
          <w:szCs w:val="24"/>
        </w:rPr>
        <w:t xml:space="preserve">συμμετείχε </w:t>
      </w:r>
      <w:r w:rsidR="001E31C9">
        <w:rPr>
          <w:rFonts w:asciiTheme="majorHAnsi" w:eastAsiaTheme="majorEastAsia" w:hAnsiTheme="majorHAnsi" w:cstheme="majorBidi"/>
          <w:sz w:val="24"/>
          <w:szCs w:val="24"/>
        </w:rPr>
        <w:t xml:space="preserve">στην </w:t>
      </w:r>
      <w:r w:rsidR="001E31C9" w:rsidRPr="001E31C9">
        <w:rPr>
          <w:rFonts w:asciiTheme="majorHAnsi" w:eastAsiaTheme="majorEastAsia" w:hAnsiTheme="majorHAnsi" w:cstheme="majorBidi"/>
          <w:sz w:val="24"/>
          <w:szCs w:val="24"/>
        </w:rPr>
        <w:t>ευρωπαϊκή άσκηση προσομοίωσης ακραίων καταστάσεων (</w:t>
      </w:r>
      <w:proofErr w:type="spellStart"/>
      <w:r w:rsidR="001E31C9" w:rsidRPr="001E31C9">
        <w:rPr>
          <w:rFonts w:asciiTheme="majorHAnsi" w:eastAsiaTheme="majorEastAsia" w:hAnsiTheme="majorHAnsi" w:cstheme="majorBidi"/>
          <w:sz w:val="24"/>
          <w:szCs w:val="24"/>
        </w:rPr>
        <w:t>stress</w:t>
      </w:r>
      <w:proofErr w:type="spellEnd"/>
      <w:r w:rsidR="001E31C9" w:rsidRPr="001E31C9">
        <w:rPr>
          <w:rFonts w:asciiTheme="majorHAnsi" w:eastAsiaTheme="majorEastAsia" w:hAnsiTheme="majorHAnsi" w:cstheme="majorBidi"/>
          <w:sz w:val="24"/>
          <w:szCs w:val="24"/>
        </w:rPr>
        <w:t xml:space="preserve"> </w:t>
      </w:r>
      <w:proofErr w:type="spellStart"/>
      <w:r w:rsidR="001E31C9" w:rsidRPr="001E31C9">
        <w:rPr>
          <w:rFonts w:asciiTheme="majorHAnsi" w:eastAsiaTheme="majorEastAsia" w:hAnsiTheme="majorHAnsi" w:cstheme="majorBidi"/>
          <w:sz w:val="24"/>
          <w:szCs w:val="24"/>
        </w:rPr>
        <w:t>test</w:t>
      </w:r>
      <w:proofErr w:type="spellEnd"/>
      <w:r w:rsidR="001E31C9" w:rsidRPr="001E31C9">
        <w:rPr>
          <w:rFonts w:asciiTheme="majorHAnsi" w:eastAsiaTheme="majorEastAsia" w:hAnsiTheme="majorHAnsi" w:cstheme="majorBidi"/>
          <w:sz w:val="24"/>
          <w:szCs w:val="24"/>
        </w:rPr>
        <w:t>) για τον ασφαλιστικό κλάδο</w:t>
      </w:r>
      <w:r w:rsidR="009A77D8">
        <w:rPr>
          <w:rFonts w:asciiTheme="majorHAnsi" w:eastAsiaTheme="majorEastAsia" w:hAnsiTheme="majorHAnsi" w:cstheme="majorBidi"/>
          <w:sz w:val="24"/>
          <w:szCs w:val="24"/>
        </w:rPr>
        <w:t>, που διενεργήθηκε από</w:t>
      </w:r>
      <w:r w:rsidR="00262D1A" w:rsidRPr="00262D1A">
        <w:rPr>
          <w:rFonts w:asciiTheme="majorHAnsi" w:eastAsiaTheme="majorEastAsia" w:hAnsiTheme="majorHAnsi" w:cstheme="majorBidi"/>
          <w:sz w:val="24"/>
          <w:szCs w:val="24"/>
        </w:rPr>
        <w:t xml:space="preserve"> </w:t>
      </w:r>
      <w:r w:rsidR="001E31C9">
        <w:rPr>
          <w:rFonts w:asciiTheme="majorHAnsi" w:eastAsiaTheme="majorEastAsia" w:hAnsiTheme="majorHAnsi" w:cstheme="majorBidi"/>
          <w:sz w:val="24"/>
          <w:szCs w:val="24"/>
        </w:rPr>
        <w:t>τη</w:t>
      </w:r>
      <w:r w:rsidR="009A77D8">
        <w:rPr>
          <w:rFonts w:asciiTheme="majorHAnsi" w:eastAsiaTheme="majorEastAsia" w:hAnsiTheme="majorHAnsi" w:cstheme="majorBidi"/>
          <w:sz w:val="24"/>
          <w:szCs w:val="24"/>
        </w:rPr>
        <w:t>ν</w:t>
      </w:r>
      <w:r w:rsidR="001017CF">
        <w:rPr>
          <w:rFonts w:asciiTheme="majorHAnsi" w:eastAsiaTheme="majorEastAsia" w:hAnsiTheme="majorHAnsi" w:cstheme="majorBidi"/>
          <w:sz w:val="24"/>
          <w:szCs w:val="24"/>
        </w:rPr>
        <w:t xml:space="preserve"> </w:t>
      </w:r>
      <w:r w:rsidR="001E31C9" w:rsidRPr="001E31C9">
        <w:rPr>
          <w:rFonts w:asciiTheme="majorHAnsi" w:eastAsiaTheme="majorEastAsia" w:hAnsiTheme="majorHAnsi" w:cstheme="majorBidi"/>
          <w:sz w:val="24"/>
          <w:szCs w:val="24"/>
        </w:rPr>
        <w:t>Ευρωπαϊκή</w:t>
      </w:r>
      <w:r w:rsidR="009A77D8">
        <w:rPr>
          <w:rFonts w:asciiTheme="majorHAnsi" w:eastAsiaTheme="majorEastAsia" w:hAnsiTheme="majorHAnsi" w:cstheme="majorBidi"/>
          <w:sz w:val="24"/>
          <w:szCs w:val="24"/>
        </w:rPr>
        <w:t xml:space="preserve"> </w:t>
      </w:r>
      <w:r w:rsidR="001E31C9" w:rsidRPr="001E31C9">
        <w:rPr>
          <w:rFonts w:asciiTheme="majorHAnsi" w:eastAsiaTheme="majorEastAsia" w:hAnsiTheme="majorHAnsi" w:cstheme="majorBidi"/>
          <w:sz w:val="24"/>
          <w:szCs w:val="24"/>
        </w:rPr>
        <w:t>Αρχή Ασφαλίσεων και Επαγγελματικών Συντάξεων (EIOPA)</w:t>
      </w:r>
      <w:r w:rsidR="009A77D8">
        <w:rPr>
          <w:rFonts w:asciiTheme="majorHAnsi" w:eastAsiaTheme="majorEastAsia" w:hAnsiTheme="majorHAnsi" w:cstheme="majorBidi"/>
          <w:sz w:val="24"/>
          <w:szCs w:val="24"/>
        </w:rPr>
        <w:t>. Η συγκεκριμένη άσκηση</w:t>
      </w:r>
      <w:r w:rsidR="009A77D8" w:rsidRPr="009A77D8">
        <w:rPr>
          <w:rFonts w:asciiTheme="majorHAnsi" w:eastAsiaTheme="majorEastAsia" w:hAnsiTheme="majorHAnsi" w:cstheme="majorBidi"/>
          <w:sz w:val="24"/>
          <w:szCs w:val="24"/>
        </w:rPr>
        <w:t xml:space="preserve"> </w:t>
      </w:r>
      <w:r w:rsidR="009A77D8">
        <w:rPr>
          <w:rFonts w:asciiTheme="majorHAnsi" w:eastAsiaTheme="majorEastAsia" w:hAnsiTheme="majorHAnsi" w:cstheme="majorBidi"/>
          <w:sz w:val="24"/>
          <w:szCs w:val="24"/>
        </w:rPr>
        <w:t xml:space="preserve">επικεντρώθηκε </w:t>
      </w:r>
      <w:r w:rsidR="009A77D8" w:rsidRPr="009A77D8">
        <w:rPr>
          <w:rFonts w:asciiTheme="majorHAnsi" w:eastAsiaTheme="majorEastAsia" w:hAnsiTheme="majorHAnsi" w:cstheme="majorBidi"/>
          <w:sz w:val="24"/>
          <w:szCs w:val="24"/>
        </w:rPr>
        <w:t xml:space="preserve">σε ένα παρατεταμένο σενάριο </w:t>
      </w:r>
      <w:r w:rsidR="009F1F72" w:rsidRPr="00756DF8">
        <w:rPr>
          <w:rFonts w:asciiTheme="majorHAnsi" w:eastAsiaTheme="majorEastAsia" w:hAnsiTheme="majorHAnsi" w:cstheme="majorBidi"/>
          <w:sz w:val="24"/>
          <w:szCs w:val="24"/>
        </w:rPr>
        <w:t>Covid</w:t>
      </w:r>
      <w:r w:rsidR="009A77D8" w:rsidRPr="009A77D8">
        <w:rPr>
          <w:rFonts w:asciiTheme="majorHAnsi" w:eastAsiaTheme="majorEastAsia" w:hAnsiTheme="majorHAnsi" w:cstheme="majorBidi"/>
          <w:sz w:val="24"/>
          <w:szCs w:val="24"/>
        </w:rPr>
        <w:t xml:space="preserve">-19 </w:t>
      </w:r>
      <w:r w:rsidR="009A77D8">
        <w:rPr>
          <w:rFonts w:asciiTheme="majorHAnsi" w:eastAsiaTheme="majorEastAsia" w:hAnsiTheme="majorHAnsi" w:cstheme="majorBidi"/>
          <w:sz w:val="24"/>
          <w:szCs w:val="24"/>
        </w:rPr>
        <w:t xml:space="preserve">και </w:t>
      </w:r>
      <w:r w:rsidR="009A77D8" w:rsidRPr="009A77D8">
        <w:rPr>
          <w:rFonts w:asciiTheme="majorHAnsi" w:eastAsiaTheme="majorEastAsia" w:hAnsiTheme="majorHAnsi" w:cstheme="majorBidi"/>
          <w:sz w:val="24"/>
          <w:szCs w:val="24"/>
        </w:rPr>
        <w:t xml:space="preserve">σε ένα περιβάλλον χαμηλών επιτοκίων για μεγαλύτερο χρονικό διάστημα. Το σενάριο, που αναπτύχθηκε σε συνεργασία με το Ευρωπαϊκό Συμβούλιο Συστημικού Κινδύνου (ESRB), </w:t>
      </w:r>
      <w:r w:rsidR="009A77D8">
        <w:rPr>
          <w:rFonts w:asciiTheme="majorHAnsi" w:eastAsiaTheme="majorEastAsia" w:hAnsiTheme="majorHAnsi" w:cstheme="majorBidi"/>
          <w:sz w:val="24"/>
          <w:szCs w:val="24"/>
        </w:rPr>
        <w:t>είχε σκοπό ν</w:t>
      </w:r>
      <w:r w:rsidR="009A77D8" w:rsidRPr="009A77D8">
        <w:rPr>
          <w:rFonts w:asciiTheme="majorHAnsi" w:eastAsiaTheme="majorEastAsia" w:hAnsiTheme="majorHAnsi" w:cstheme="majorBidi"/>
          <w:sz w:val="24"/>
          <w:szCs w:val="24"/>
        </w:rPr>
        <w:t>α αξιολογήσει τον αντίκτυπο των οικονομικών συνεπειών της πανδημίας</w:t>
      </w:r>
      <w:r w:rsidR="009F1F72" w:rsidRPr="009F1F72">
        <w:rPr>
          <w:rFonts w:asciiTheme="majorHAnsi" w:eastAsiaTheme="majorEastAsia" w:hAnsiTheme="majorHAnsi" w:cstheme="majorBidi"/>
          <w:sz w:val="24"/>
          <w:szCs w:val="24"/>
        </w:rPr>
        <w:t xml:space="preserve">    </w:t>
      </w:r>
      <w:r w:rsidR="009A77D8" w:rsidRPr="009A77D8">
        <w:rPr>
          <w:rFonts w:asciiTheme="majorHAnsi" w:eastAsiaTheme="majorEastAsia" w:hAnsiTheme="majorHAnsi" w:cstheme="majorBidi"/>
          <w:sz w:val="24"/>
          <w:szCs w:val="24"/>
        </w:rPr>
        <w:t xml:space="preserve"> </w:t>
      </w:r>
      <w:r w:rsidR="009F1F72">
        <w:rPr>
          <w:rFonts w:asciiTheme="majorHAnsi" w:eastAsiaTheme="majorEastAsia" w:hAnsiTheme="majorHAnsi" w:cstheme="majorBidi"/>
          <w:sz w:val="24"/>
          <w:szCs w:val="24"/>
          <w:lang w:val="en-US"/>
        </w:rPr>
        <w:t>Covid</w:t>
      </w:r>
      <w:r w:rsidR="009A77D8" w:rsidRPr="009A77D8">
        <w:rPr>
          <w:rFonts w:asciiTheme="majorHAnsi" w:eastAsiaTheme="majorEastAsia" w:hAnsiTheme="majorHAnsi" w:cstheme="majorBidi"/>
          <w:sz w:val="24"/>
          <w:szCs w:val="24"/>
        </w:rPr>
        <w:t>-19, οι οποίες επηρεάζουν την εμπιστοσύνη παγκοσμίως και παρατείνουν την οικονομική συρρίκνωση</w:t>
      </w:r>
      <w:r w:rsidR="002E3ADE">
        <w:rPr>
          <w:rFonts w:asciiTheme="majorHAnsi" w:eastAsiaTheme="majorEastAsia" w:hAnsiTheme="majorHAnsi" w:cstheme="majorBidi"/>
          <w:sz w:val="24"/>
          <w:szCs w:val="24"/>
        </w:rPr>
        <w:t>, καθώς και να</w:t>
      </w:r>
      <w:r w:rsidR="009A77D8" w:rsidRPr="009A77D8">
        <w:rPr>
          <w:rFonts w:asciiTheme="majorHAnsi" w:eastAsiaTheme="majorEastAsia" w:hAnsiTheme="majorHAnsi" w:cstheme="majorBidi"/>
          <w:sz w:val="24"/>
          <w:szCs w:val="24"/>
        </w:rPr>
        <w:t xml:space="preserve"> αξιολογήσει τόσο τον αντίκτυπο στ</w:t>
      </w:r>
      <w:r w:rsidR="002E3ADE">
        <w:rPr>
          <w:rFonts w:asciiTheme="majorHAnsi" w:eastAsiaTheme="majorEastAsia" w:hAnsiTheme="majorHAnsi" w:cstheme="majorBidi"/>
          <w:sz w:val="24"/>
          <w:szCs w:val="24"/>
        </w:rPr>
        <w:t>α Ίδια Κ</w:t>
      </w:r>
      <w:r w:rsidR="009A77D8" w:rsidRPr="009A77D8">
        <w:rPr>
          <w:rFonts w:asciiTheme="majorHAnsi" w:eastAsiaTheme="majorEastAsia" w:hAnsiTheme="majorHAnsi" w:cstheme="majorBidi"/>
          <w:sz w:val="24"/>
          <w:szCs w:val="24"/>
        </w:rPr>
        <w:t>εφάλαι</w:t>
      </w:r>
      <w:r w:rsidR="002E3ADE">
        <w:rPr>
          <w:rFonts w:asciiTheme="majorHAnsi" w:eastAsiaTheme="majorEastAsia" w:hAnsiTheme="majorHAnsi" w:cstheme="majorBidi"/>
          <w:sz w:val="24"/>
          <w:szCs w:val="24"/>
        </w:rPr>
        <w:t>α</w:t>
      </w:r>
      <w:r w:rsidR="009A77D8" w:rsidRPr="009A77D8">
        <w:rPr>
          <w:rFonts w:asciiTheme="majorHAnsi" w:eastAsiaTheme="majorEastAsia" w:hAnsiTheme="majorHAnsi" w:cstheme="majorBidi"/>
          <w:sz w:val="24"/>
          <w:szCs w:val="24"/>
        </w:rPr>
        <w:t xml:space="preserve"> όσο και τη θέση ρευστότητας των εταιριών στο πεδίο εφαρμογής.</w:t>
      </w:r>
      <w:r w:rsidR="002E3ADE">
        <w:rPr>
          <w:rFonts w:asciiTheme="majorHAnsi" w:eastAsiaTheme="majorEastAsia" w:hAnsiTheme="majorHAnsi" w:cstheme="majorBidi"/>
          <w:sz w:val="24"/>
          <w:szCs w:val="24"/>
        </w:rPr>
        <w:t xml:space="preserve"> </w:t>
      </w:r>
    </w:p>
    <w:p w14:paraId="1B6790B0" w14:textId="3A87AC0F" w:rsidR="00F87003" w:rsidRPr="00763B04" w:rsidRDefault="00720504" w:rsidP="00D05996">
      <w:pPr>
        <w:jc w:val="both"/>
        <w:rPr>
          <w:rFonts w:asciiTheme="majorHAnsi" w:eastAsiaTheme="majorEastAsia" w:hAnsiTheme="majorHAnsi" w:cstheme="majorBidi"/>
          <w:sz w:val="24"/>
          <w:szCs w:val="24"/>
        </w:rPr>
      </w:pPr>
      <w:r>
        <w:rPr>
          <w:rFonts w:asciiTheme="majorHAnsi" w:eastAsiaTheme="majorEastAsia" w:hAnsiTheme="majorHAnsi" w:cstheme="majorBidi"/>
          <w:sz w:val="24"/>
          <w:szCs w:val="24"/>
        </w:rPr>
        <w:t>Επίσης, η</w:t>
      </w:r>
      <w:r w:rsidR="00752680" w:rsidRPr="00756DF8">
        <w:rPr>
          <w:rFonts w:asciiTheme="majorHAnsi" w:eastAsiaTheme="majorEastAsia" w:hAnsiTheme="majorHAnsi" w:cstheme="majorBidi"/>
          <w:sz w:val="24"/>
          <w:szCs w:val="24"/>
        </w:rPr>
        <w:t xml:space="preserve"> Διοίκηση παρακολουθεί συστηματικά την κεφαλαιακή επάρκεια της Εταιρίας σύμφωνα με την Φερεγγυότητα ΙΙ και προβαίνει στις απαραίτητες ενέργειες για τη διατήρηση ισχυρής κεφαλαιακής βάσης και υψηλής ποιότητας χαρτοφυλακίου επενδύσεων</w:t>
      </w:r>
      <w:r w:rsidR="00D8735A" w:rsidRPr="00756DF8">
        <w:rPr>
          <w:rFonts w:asciiTheme="majorHAnsi" w:eastAsiaTheme="majorEastAsia" w:hAnsiTheme="majorHAnsi" w:cstheme="majorBidi"/>
          <w:sz w:val="24"/>
          <w:szCs w:val="24"/>
        </w:rPr>
        <w:t xml:space="preserve">. Συγκεκριμένα, ο </w:t>
      </w:r>
      <w:r w:rsidR="00D8735A" w:rsidRPr="00756DF8">
        <w:rPr>
          <w:rFonts w:asciiTheme="majorHAnsi" w:eastAsiaTheme="majorEastAsia" w:hAnsiTheme="majorHAnsi" w:cstheme="majorBidi"/>
          <w:b/>
          <w:bCs/>
          <w:sz w:val="24"/>
          <w:szCs w:val="24"/>
        </w:rPr>
        <w:t xml:space="preserve">Δείκτης Φερεγγυότητας </w:t>
      </w:r>
      <w:r w:rsidR="00D8735A" w:rsidRPr="00756DF8">
        <w:rPr>
          <w:rFonts w:asciiTheme="majorHAnsi" w:eastAsiaTheme="majorEastAsia" w:hAnsiTheme="majorHAnsi" w:cstheme="majorBidi"/>
          <w:b/>
          <w:bCs/>
          <w:sz w:val="24"/>
          <w:szCs w:val="24"/>
          <w:lang w:val="en-US"/>
        </w:rPr>
        <w:t>SCR</w:t>
      </w:r>
      <w:r w:rsidR="00D8735A" w:rsidRPr="00756DF8">
        <w:rPr>
          <w:rFonts w:asciiTheme="majorHAnsi" w:eastAsiaTheme="majorEastAsia" w:hAnsiTheme="majorHAnsi" w:cstheme="majorBidi"/>
          <w:sz w:val="24"/>
          <w:szCs w:val="24"/>
        </w:rPr>
        <w:t xml:space="preserve">, στις 30/09/2021, </w:t>
      </w:r>
      <w:r w:rsidR="009B1941" w:rsidRPr="00756DF8">
        <w:rPr>
          <w:rFonts w:asciiTheme="majorHAnsi" w:eastAsiaTheme="majorEastAsia" w:hAnsiTheme="majorHAnsi" w:cstheme="majorBidi"/>
          <w:sz w:val="24"/>
          <w:szCs w:val="24"/>
        </w:rPr>
        <w:t xml:space="preserve">διαμορφώθηκε </w:t>
      </w:r>
      <w:r w:rsidR="004E7781">
        <w:rPr>
          <w:rFonts w:asciiTheme="majorHAnsi" w:eastAsiaTheme="majorEastAsia" w:hAnsiTheme="majorHAnsi" w:cstheme="majorBidi"/>
          <w:sz w:val="24"/>
          <w:szCs w:val="24"/>
        </w:rPr>
        <w:t xml:space="preserve">σε </w:t>
      </w:r>
      <w:r w:rsidR="00D8735A" w:rsidRPr="00756DF8">
        <w:rPr>
          <w:rFonts w:asciiTheme="majorHAnsi" w:eastAsiaTheme="majorEastAsia" w:hAnsiTheme="majorHAnsi" w:cstheme="majorBidi"/>
          <w:b/>
          <w:bCs/>
          <w:sz w:val="24"/>
          <w:szCs w:val="24"/>
        </w:rPr>
        <w:t>173,86%</w:t>
      </w:r>
      <w:r w:rsidR="00F85E60" w:rsidRPr="00763B04">
        <w:rPr>
          <w:rFonts w:asciiTheme="majorHAnsi" w:eastAsiaTheme="majorEastAsia" w:hAnsiTheme="majorHAnsi" w:cstheme="majorBidi"/>
          <w:sz w:val="24"/>
          <w:szCs w:val="24"/>
        </w:rPr>
        <w:t>.</w:t>
      </w:r>
    </w:p>
    <w:p w14:paraId="6F267F22" w14:textId="24C2C459" w:rsidR="00F87003" w:rsidRPr="00756DF8" w:rsidRDefault="005B336E" w:rsidP="00D05996">
      <w:pPr>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Εκτός από την επίδραση της πανδημίας, θεωρείται σκόπιμη η αναφορά των παρακάτω γεγονότων που επηρέασαν σημαντικά τα οικονομικά αποτελέσματα, το πρώτο ενεάμηνο του 2021:</w:t>
      </w:r>
    </w:p>
    <w:p w14:paraId="5EF3594E" w14:textId="687F7454" w:rsidR="005B336E" w:rsidRPr="00756DF8" w:rsidRDefault="005B336E" w:rsidP="005B336E">
      <w:pPr>
        <w:pStyle w:val="a6"/>
        <w:numPr>
          <w:ilvl w:val="0"/>
          <w:numId w:val="5"/>
        </w:numPr>
        <w:spacing w:line="259" w:lineRule="auto"/>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Η αύξηση της κυκλοφορίας στους δρόμους καθώς και το πλήθος των ζημιών</w:t>
      </w:r>
      <w:r w:rsidR="000B08E4">
        <w:rPr>
          <w:rFonts w:asciiTheme="majorHAnsi" w:eastAsiaTheme="majorEastAsia" w:hAnsiTheme="majorHAnsi" w:cstheme="majorBidi"/>
          <w:sz w:val="24"/>
          <w:szCs w:val="24"/>
        </w:rPr>
        <w:t xml:space="preserve">, μεγέθη τα οποία έχουν αυξηθεί ακριβώς μετά την </w:t>
      </w:r>
      <w:r w:rsidR="000B08E4" w:rsidRPr="000B08E4">
        <w:rPr>
          <w:rFonts w:asciiTheme="majorHAnsi" w:eastAsiaTheme="majorEastAsia" w:hAnsiTheme="majorHAnsi" w:cstheme="majorBidi"/>
          <w:sz w:val="24"/>
          <w:szCs w:val="24"/>
        </w:rPr>
        <w:t xml:space="preserve">κατάργηση των περιορισμών </w:t>
      </w:r>
      <w:r w:rsidR="000B08E4">
        <w:rPr>
          <w:rFonts w:asciiTheme="majorHAnsi" w:eastAsiaTheme="majorEastAsia" w:hAnsiTheme="majorHAnsi" w:cstheme="majorBidi"/>
          <w:sz w:val="24"/>
          <w:szCs w:val="24"/>
        </w:rPr>
        <w:t xml:space="preserve">μετακινήσεων. Τα παραπάνω διαμόρφωσαν τον Δείκτη Ζημιών του Κλάδου </w:t>
      </w:r>
      <w:r w:rsidR="000B08E4">
        <w:rPr>
          <w:rFonts w:asciiTheme="majorHAnsi" w:eastAsiaTheme="majorEastAsia" w:hAnsiTheme="majorHAnsi" w:cstheme="majorBidi"/>
          <w:sz w:val="24"/>
          <w:szCs w:val="24"/>
        </w:rPr>
        <w:lastRenderedPageBreak/>
        <w:t xml:space="preserve">Αυτοκινήτων </w:t>
      </w:r>
      <w:r w:rsidR="0068129F">
        <w:rPr>
          <w:rFonts w:asciiTheme="majorHAnsi" w:eastAsiaTheme="majorEastAsia" w:hAnsiTheme="majorHAnsi" w:cstheme="majorBidi"/>
          <w:sz w:val="24"/>
          <w:szCs w:val="24"/>
        </w:rPr>
        <w:t>στις</w:t>
      </w:r>
      <w:r w:rsidR="000B08E4">
        <w:rPr>
          <w:rFonts w:asciiTheme="majorHAnsi" w:eastAsiaTheme="majorEastAsia" w:hAnsiTheme="majorHAnsi" w:cstheme="majorBidi"/>
          <w:sz w:val="24"/>
          <w:szCs w:val="24"/>
        </w:rPr>
        <w:t xml:space="preserve"> 30/09/2021 (</w:t>
      </w:r>
      <w:proofErr w:type="spellStart"/>
      <w:r w:rsidR="000B08E4">
        <w:rPr>
          <w:rFonts w:asciiTheme="majorHAnsi" w:eastAsiaTheme="majorEastAsia" w:hAnsiTheme="majorHAnsi" w:cstheme="majorBidi"/>
          <w:sz w:val="24"/>
          <w:szCs w:val="24"/>
        </w:rPr>
        <w:t>ετησιοποιημένο</w:t>
      </w:r>
      <w:proofErr w:type="spellEnd"/>
      <w:r w:rsidR="000B08E4">
        <w:rPr>
          <w:rFonts w:asciiTheme="majorHAnsi" w:eastAsiaTheme="majorEastAsia" w:hAnsiTheme="majorHAnsi" w:cstheme="majorBidi"/>
          <w:sz w:val="24"/>
          <w:szCs w:val="24"/>
        </w:rPr>
        <w:t>)</w:t>
      </w:r>
      <w:r w:rsidR="009F1F72">
        <w:rPr>
          <w:rFonts w:asciiTheme="majorHAnsi" w:eastAsiaTheme="majorEastAsia" w:hAnsiTheme="majorHAnsi" w:cstheme="majorBidi"/>
          <w:sz w:val="24"/>
          <w:szCs w:val="24"/>
        </w:rPr>
        <w:t xml:space="preserve">, αυξημένο κατά 5 π.μ. σε σχέση με </w:t>
      </w:r>
      <w:r w:rsidR="00D64A0B">
        <w:rPr>
          <w:rFonts w:asciiTheme="majorHAnsi" w:eastAsiaTheme="majorEastAsia" w:hAnsiTheme="majorHAnsi" w:cstheme="majorBidi"/>
          <w:sz w:val="24"/>
          <w:szCs w:val="24"/>
        </w:rPr>
        <w:t>την αντίστοιχη περσινή περίοδο.</w:t>
      </w:r>
    </w:p>
    <w:p w14:paraId="69964A85" w14:textId="7128FE78" w:rsidR="005B336E" w:rsidRPr="000B08E4" w:rsidRDefault="005B336E" w:rsidP="00756DF8">
      <w:pPr>
        <w:pStyle w:val="a6"/>
        <w:numPr>
          <w:ilvl w:val="0"/>
          <w:numId w:val="5"/>
        </w:numPr>
        <w:spacing w:line="259" w:lineRule="auto"/>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Η κλιματική αλλαγή και το πλήθος των φυσικών φαινομένων</w:t>
      </w:r>
      <w:r w:rsidR="000B08E4" w:rsidRPr="000B08E4">
        <w:rPr>
          <w:rFonts w:asciiTheme="majorHAnsi" w:eastAsiaTheme="majorEastAsia" w:hAnsiTheme="majorHAnsi" w:cstheme="majorBidi"/>
          <w:sz w:val="24"/>
          <w:szCs w:val="24"/>
        </w:rPr>
        <w:t xml:space="preserve">. </w:t>
      </w:r>
      <w:r w:rsidR="00960EE2">
        <w:rPr>
          <w:rFonts w:asciiTheme="majorHAnsi" w:eastAsiaTheme="majorEastAsia" w:hAnsiTheme="majorHAnsi" w:cstheme="majorBidi"/>
          <w:sz w:val="24"/>
          <w:szCs w:val="24"/>
        </w:rPr>
        <w:t xml:space="preserve">Τα </w:t>
      </w:r>
      <w:r w:rsidRPr="000B08E4">
        <w:rPr>
          <w:rFonts w:asciiTheme="majorHAnsi" w:eastAsiaTheme="majorEastAsia" w:hAnsiTheme="majorHAnsi" w:cstheme="majorBidi"/>
          <w:sz w:val="24"/>
          <w:szCs w:val="24"/>
        </w:rPr>
        <w:t>ακραία φυσικά φαινόμενα (πυρκαγιές) που ξέσπασαν τον Αύγουστο σε περιοχές της Βόρειας Εύβοιας, Βόρειας Αττικής, Ηλείας και σε πολλά ακόμα σημεία της χώρας</w:t>
      </w:r>
      <w:r w:rsidR="00756DF8" w:rsidRPr="000B08E4">
        <w:rPr>
          <w:rFonts w:asciiTheme="majorHAnsi" w:eastAsiaTheme="majorEastAsia" w:hAnsiTheme="majorHAnsi" w:cstheme="majorBidi"/>
          <w:sz w:val="24"/>
          <w:szCs w:val="24"/>
        </w:rPr>
        <w:t xml:space="preserve">, επηρέασαν </w:t>
      </w:r>
      <w:r w:rsidRPr="000B08E4">
        <w:rPr>
          <w:rFonts w:asciiTheme="majorHAnsi" w:eastAsiaTheme="majorEastAsia" w:hAnsiTheme="majorHAnsi" w:cstheme="majorBidi"/>
          <w:sz w:val="24"/>
          <w:szCs w:val="24"/>
        </w:rPr>
        <w:t>τις ασφαλιστικές αποζημιώσεις της Εταιρίας κατά 2,7 εκ</w:t>
      </w:r>
      <w:r w:rsidR="00756DF8" w:rsidRPr="000B08E4">
        <w:rPr>
          <w:rFonts w:asciiTheme="majorHAnsi" w:eastAsiaTheme="majorEastAsia" w:hAnsiTheme="majorHAnsi" w:cstheme="majorBidi"/>
          <w:sz w:val="24"/>
          <w:szCs w:val="24"/>
        </w:rPr>
        <w:t xml:space="preserve">. ευρώ </w:t>
      </w:r>
      <w:r w:rsidRPr="000B08E4">
        <w:rPr>
          <w:rFonts w:asciiTheme="majorHAnsi" w:eastAsiaTheme="majorEastAsia" w:hAnsiTheme="majorHAnsi" w:cstheme="majorBidi"/>
          <w:sz w:val="24"/>
          <w:szCs w:val="24"/>
        </w:rPr>
        <w:t>περίπου, εκ των οποίων τα 0,9 εκ</w:t>
      </w:r>
      <w:r w:rsidR="00756DF8" w:rsidRPr="000B08E4">
        <w:rPr>
          <w:rFonts w:asciiTheme="majorHAnsi" w:eastAsiaTheme="majorEastAsia" w:hAnsiTheme="majorHAnsi" w:cstheme="majorBidi"/>
          <w:sz w:val="24"/>
          <w:szCs w:val="24"/>
        </w:rPr>
        <w:t>. ευρώ</w:t>
      </w:r>
      <w:r w:rsidRPr="000B08E4">
        <w:rPr>
          <w:rFonts w:asciiTheme="majorHAnsi" w:eastAsiaTheme="majorEastAsia" w:hAnsiTheme="majorHAnsi" w:cstheme="majorBidi"/>
          <w:sz w:val="24"/>
          <w:szCs w:val="24"/>
        </w:rPr>
        <w:t xml:space="preserve"> περίπου αφορούν σε συμμετοχή αντασφαλιστών.</w:t>
      </w:r>
    </w:p>
    <w:p w14:paraId="00BB7804" w14:textId="4EDA76C0" w:rsidR="000E6FF2" w:rsidRPr="00756DF8" w:rsidRDefault="00896C06" w:rsidP="00D05996">
      <w:pPr>
        <w:jc w:val="both"/>
        <w:rPr>
          <w:rFonts w:asciiTheme="majorHAnsi" w:eastAsiaTheme="majorEastAsia" w:hAnsiTheme="majorHAnsi" w:cstheme="majorBidi"/>
          <w:sz w:val="24"/>
          <w:szCs w:val="24"/>
        </w:rPr>
      </w:pPr>
      <w:r w:rsidRPr="00756DF8">
        <w:rPr>
          <w:rFonts w:asciiTheme="majorHAnsi" w:eastAsiaTheme="majorEastAsia" w:hAnsiTheme="majorHAnsi" w:cstheme="majorBidi"/>
          <w:sz w:val="24"/>
          <w:szCs w:val="24"/>
        </w:rPr>
        <w:t xml:space="preserve">Οι ενδιαφερόμενοι μπορούν να αντλήσουν περισσότερες πληροφορίες, στο επενδυτικό </w:t>
      </w:r>
      <w:proofErr w:type="spellStart"/>
      <w:r w:rsidRPr="00756DF8">
        <w:rPr>
          <w:rFonts w:asciiTheme="majorHAnsi" w:eastAsiaTheme="majorEastAsia" w:hAnsiTheme="majorHAnsi" w:cstheme="majorBidi"/>
          <w:sz w:val="24"/>
          <w:szCs w:val="24"/>
        </w:rPr>
        <w:t>site</w:t>
      </w:r>
      <w:proofErr w:type="spellEnd"/>
      <w:r w:rsidRPr="00756DF8">
        <w:rPr>
          <w:rFonts w:asciiTheme="majorHAnsi" w:eastAsiaTheme="majorEastAsia" w:hAnsiTheme="majorHAnsi" w:cstheme="majorBidi"/>
          <w:sz w:val="24"/>
          <w:szCs w:val="24"/>
        </w:rPr>
        <w:t xml:space="preserve"> της Εταιρίας, στην ενότητα </w:t>
      </w:r>
      <w:hyperlink r:id="rId7" w:history="1">
        <w:r w:rsidRPr="00756DF8">
          <w:rPr>
            <w:rStyle w:val="-"/>
            <w:rFonts w:asciiTheme="majorHAnsi" w:eastAsiaTheme="majorEastAsia" w:hAnsiTheme="majorHAnsi" w:cstheme="majorBidi"/>
            <w:b/>
            <w:bCs/>
            <w:sz w:val="24"/>
            <w:szCs w:val="24"/>
          </w:rPr>
          <w:t>Οικονομικά Αποτελέσματα</w:t>
        </w:r>
      </w:hyperlink>
      <w:r w:rsidRPr="00756DF8">
        <w:rPr>
          <w:rFonts w:asciiTheme="majorHAnsi" w:eastAsiaTheme="majorEastAsia" w:hAnsiTheme="majorHAnsi" w:cstheme="majorBidi"/>
          <w:sz w:val="24"/>
          <w:szCs w:val="24"/>
        </w:rPr>
        <w:t xml:space="preserve">, μέσω email στην ηλεκτρονική διεύθυνση </w:t>
      </w:r>
      <w:r w:rsidRPr="00756DF8">
        <w:rPr>
          <w:rFonts w:asciiTheme="majorHAnsi" w:eastAsiaTheme="majorEastAsia" w:hAnsiTheme="majorHAnsi" w:cstheme="majorBidi"/>
          <w:b/>
          <w:bCs/>
          <w:sz w:val="24"/>
          <w:szCs w:val="24"/>
        </w:rPr>
        <w:t>ir@europisti.gr</w:t>
      </w:r>
      <w:r w:rsidR="00950F42">
        <w:rPr>
          <w:rFonts w:asciiTheme="majorHAnsi" w:eastAsiaTheme="majorEastAsia" w:hAnsiTheme="majorHAnsi" w:cstheme="majorBidi"/>
          <w:b/>
          <w:bCs/>
          <w:sz w:val="24"/>
          <w:szCs w:val="24"/>
        </w:rPr>
        <w:t>,</w:t>
      </w:r>
      <w:r w:rsidRPr="00756DF8">
        <w:rPr>
          <w:rFonts w:asciiTheme="majorHAnsi" w:eastAsiaTheme="majorEastAsia" w:hAnsiTheme="majorHAnsi" w:cstheme="majorBidi"/>
          <w:sz w:val="24"/>
          <w:szCs w:val="24"/>
        </w:rPr>
        <w:t xml:space="preserve"> ή τηλεφωνικά στους αριθμούς +30 210 8119655/+30 216 2001381.</w:t>
      </w:r>
    </w:p>
    <w:sectPr w:rsidR="000E6FF2" w:rsidRPr="00756DF8" w:rsidSect="009568A3">
      <w:headerReference w:type="default" r:id="rId8"/>
      <w:footerReference w:type="default" r:id="rId9"/>
      <w:pgSz w:w="12240" w:h="15840"/>
      <w:pgMar w:top="2268" w:right="1608" w:bottom="1440" w:left="1800"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2E28" w14:textId="77777777" w:rsidR="005C6AE9" w:rsidRDefault="005C6AE9" w:rsidP="000E6FF2">
      <w:pPr>
        <w:spacing w:after="0" w:line="240" w:lineRule="auto"/>
      </w:pPr>
      <w:r>
        <w:separator/>
      </w:r>
    </w:p>
  </w:endnote>
  <w:endnote w:type="continuationSeparator" w:id="0">
    <w:p w14:paraId="7A1E24D0" w14:textId="77777777" w:rsidR="005C6AE9" w:rsidRDefault="005C6AE9" w:rsidP="000E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72 Black">
    <w:panose1 w:val="020B0A04030603020204"/>
    <w:charset w:val="A1"/>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801311"/>
      <w:docPartObj>
        <w:docPartGallery w:val="Page Numbers (Bottom of Page)"/>
        <w:docPartUnique/>
      </w:docPartObj>
    </w:sdtPr>
    <w:sdtEndPr/>
    <w:sdtContent>
      <w:p w14:paraId="5DCD2DB7" w14:textId="26925CE9" w:rsidR="00EA5542" w:rsidRDefault="00EA5542">
        <w:pPr>
          <w:pStyle w:val="a4"/>
          <w:jc w:val="right"/>
        </w:pPr>
        <w:r>
          <w:fldChar w:fldCharType="begin"/>
        </w:r>
        <w:r>
          <w:instrText>PAGE   \* MERGEFORMAT</w:instrText>
        </w:r>
        <w:r>
          <w:fldChar w:fldCharType="separate"/>
        </w:r>
        <w:r>
          <w:t>2</w:t>
        </w:r>
        <w:r>
          <w:fldChar w:fldCharType="end"/>
        </w:r>
      </w:p>
    </w:sdtContent>
  </w:sdt>
  <w:p w14:paraId="724A2CB9" w14:textId="77777777" w:rsidR="00EA5542" w:rsidRDefault="00EA554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A9EF" w14:textId="77777777" w:rsidR="005C6AE9" w:rsidRDefault="005C6AE9" w:rsidP="000E6FF2">
      <w:pPr>
        <w:spacing w:after="0" w:line="240" w:lineRule="auto"/>
      </w:pPr>
      <w:r>
        <w:separator/>
      </w:r>
    </w:p>
  </w:footnote>
  <w:footnote w:type="continuationSeparator" w:id="0">
    <w:p w14:paraId="5EF105EE" w14:textId="77777777" w:rsidR="005C6AE9" w:rsidRDefault="005C6AE9" w:rsidP="000E6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AEA2" w14:textId="4EA9C3E0" w:rsidR="000E6FF2" w:rsidRPr="00C36E65" w:rsidRDefault="00C36E65">
    <w:pPr>
      <w:pStyle w:val="a3"/>
      <w:rPr>
        <w:lang w:val="en-US"/>
      </w:rPr>
    </w:pPr>
    <w:r>
      <w:rPr>
        <w:noProof/>
      </w:rPr>
      <w:drawing>
        <wp:anchor distT="0" distB="0" distL="114300" distR="114300" simplePos="0" relativeHeight="251658240" behindDoc="0" locked="0" layoutInCell="1" allowOverlap="1" wp14:anchorId="012C1D84" wp14:editId="7B3B42FE">
          <wp:simplePos x="0" y="0"/>
          <wp:positionH relativeFrom="leftMargin">
            <wp:posOffset>762000</wp:posOffset>
          </wp:positionH>
          <wp:positionV relativeFrom="paragraph">
            <wp:posOffset>-200660</wp:posOffset>
          </wp:positionV>
          <wp:extent cx="2695575" cy="806450"/>
          <wp:effectExtent l="0" t="0" r="952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epistoloxarto_2-01.jpg"/>
                  <pic:cNvPicPr/>
                </pic:nvPicPr>
                <pic:blipFill rotWithShape="1">
                  <a:blip r:embed="rId1">
                    <a:extLst>
                      <a:ext uri="{28A0092B-C50C-407E-A947-70E740481C1C}">
                        <a14:useLocalDpi xmlns:a14="http://schemas.microsoft.com/office/drawing/2010/main" val="0"/>
                      </a:ext>
                    </a:extLst>
                  </a:blip>
                  <a:srcRect r="65126"/>
                  <a:stretch/>
                </pic:blipFill>
                <pic:spPr bwMode="auto">
                  <a:xfrm>
                    <a:off x="0" y="0"/>
                    <a:ext cx="2695575" cy="806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4E2E"/>
    <w:multiLevelType w:val="hybridMultilevel"/>
    <w:tmpl w:val="1E5AE522"/>
    <w:lvl w:ilvl="0" w:tplc="69B0E286">
      <w:start w:val="1"/>
      <w:numFmt w:val="bullet"/>
      <w:lvlText w:val="•"/>
      <w:lvlJc w:val="left"/>
      <w:pPr>
        <w:ind w:left="720" w:hanging="360"/>
      </w:pPr>
      <w:rPr>
        <w:rFonts w:ascii="Times New Roman" w:hAnsi="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54433FE"/>
    <w:multiLevelType w:val="hybridMultilevel"/>
    <w:tmpl w:val="B3C87586"/>
    <w:lvl w:ilvl="0" w:tplc="69B0E286">
      <w:start w:val="1"/>
      <w:numFmt w:val="bullet"/>
      <w:lvlText w:val="•"/>
      <w:lvlJc w:val="left"/>
      <w:pPr>
        <w:ind w:left="720" w:hanging="360"/>
      </w:pPr>
      <w:rPr>
        <w:rFonts w:ascii="Times New Roman" w:hAnsi="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72A0BFA"/>
    <w:multiLevelType w:val="hybridMultilevel"/>
    <w:tmpl w:val="259C1620"/>
    <w:lvl w:ilvl="0" w:tplc="0408000D">
      <w:start w:val="1"/>
      <w:numFmt w:val="bullet"/>
      <w:lvlText w:val=""/>
      <w:lvlJc w:val="left"/>
      <w:pPr>
        <w:ind w:left="720" w:hanging="360"/>
      </w:pPr>
      <w:rPr>
        <w:rFonts w:ascii="Wingdings" w:hAnsi="Wingdings" w:hint="default"/>
        <w:color w:val="FFC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A797D92"/>
    <w:multiLevelType w:val="hybridMultilevel"/>
    <w:tmpl w:val="825456F2"/>
    <w:lvl w:ilvl="0" w:tplc="CBBA1FBE">
      <w:start w:val="1"/>
      <w:numFmt w:val="bullet"/>
      <w:lvlText w:val="•"/>
      <w:lvlJc w:val="left"/>
      <w:pPr>
        <w:ind w:left="1140" w:hanging="360"/>
      </w:pPr>
      <w:rPr>
        <w:rFonts w:ascii="Arial" w:hAnsi="Aria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4" w15:restartNumberingAfterBreak="0">
    <w:nsid w:val="72335143"/>
    <w:multiLevelType w:val="hybridMultilevel"/>
    <w:tmpl w:val="40684BC2"/>
    <w:lvl w:ilvl="0" w:tplc="04080001">
      <w:start w:val="1"/>
      <w:numFmt w:val="bullet"/>
      <w:lvlText w:val=""/>
      <w:lvlJc w:val="left"/>
      <w:pPr>
        <w:ind w:left="-225" w:hanging="360"/>
      </w:pPr>
      <w:rPr>
        <w:rFonts w:ascii="Symbol" w:hAnsi="Symbol" w:hint="default"/>
      </w:rPr>
    </w:lvl>
    <w:lvl w:ilvl="1" w:tplc="04080003">
      <w:start w:val="1"/>
      <w:numFmt w:val="bullet"/>
      <w:lvlText w:val="o"/>
      <w:lvlJc w:val="left"/>
      <w:pPr>
        <w:ind w:left="495" w:hanging="360"/>
      </w:pPr>
      <w:rPr>
        <w:rFonts w:ascii="Courier New" w:hAnsi="Courier New" w:cs="Courier New" w:hint="default"/>
      </w:rPr>
    </w:lvl>
    <w:lvl w:ilvl="2" w:tplc="04080005">
      <w:start w:val="1"/>
      <w:numFmt w:val="bullet"/>
      <w:lvlText w:val=""/>
      <w:lvlJc w:val="left"/>
      <w:pPr>
        <w:ind w:left="1215" w:hanging="360"/>
      </w:pPr>
      <w:rPr>
        <w:rFonts w:ascii="Wingdings" w:hAnsi="Wingdings" w:hint="default"/>
      </w:rPr>
    </w:lvl>
    <w:lvl w:ilvl="3" w:tplc="04080001">
      <w:start w:val="1"/>
      <w:numFmt w:val="bullet"/>
      <w:lvlText w:val=""/>
      <w:lvlJc w:val="left"/>
      <w:pPr>
        <w:ind w:left="1935" w:hanging="360"/>
      </w:pPr>
      <w:rPr>
        <w:rFonts w:ascii="Symbol" w:hAnsi="Symbol" w:hint="default"/>
      </w:rPr>
    </w:lvl>
    <w:lvl w:ilvl="4" w:tplc="04080003">
      <w:start w:val="1"/>
      <w:numFmt w:val="bullet"/>
      <w:lvlText w:val="o"/>
      <w:lvlJc w:val="left"/>
      <w:pPr>
        <w:ind w:left="2655" w:hanging="360"/>
      </w:pPr>
      <w:rPr>
        <w:rFonts w:ascii="Courier New" w:hAnsi="Courier New" w:cs="Courier New" w:hint="default"/>
      </w:rPr>
    </w:lvl>
    <w:lvl w:ilvl="5" w:tplc="04080005">
      <w:start w:val="1"/>
      <w:numFmt w:val="bullet"/>
      <w:lvlText w:val=""/>
      <w:lvlJc w:val="left"/>
      <w:pPr>
        <w:ind w:left="3375" w:hanging="360"/>
      </w:pPr>
      <w:rPr>
        <w:rFonts w:ascii="Wingdings" w:hAnsi="Wingdings" w:hint="default"/>
      </w:rPr>
    </w:lvl>
    <w:lvl w:ilvl="6" w:tplc="04080001">
      <w:start w:val="1"/>
      <w:numFmt w:val="bullet"/>
      <w:lvlText w:val=""/>
      <w:lvlJc w:val="left"/>
      <w:pPr>
        <w:ind w:left="4095" w:hanging="360"/>
      </w:pPr>
      <w:rPr>
        <w:rFonts w:ascii="Symbol" w:hAnsi="Symbol" w:hint="default"/>
      </w:rPr>
    </w:lvl>
    <w:lvl w:ilvl="7" w:tplc="04080003">
      <w:start w:val="1"/>
      <w:numFmt w:val="bullet"/>
      <w:lvlText w:val="o"/>
      <w:lvlJc w:val="left"/>
      <w:pPr>
        <w:ind w:left="4815" w:hanging="360"/>
      </w:pPr>
      <w:rPr>
        <w:rFonts w:ascii="Courier New" w:hAnsi="Courier New" w:cs="Courier New" w:hint="default"/>
      </w:rPr>
    </w:lvl>
    <w:lvl w:ilvl="8" w:tplc="04080005">
      <w:start w:val="1"/>
      <w:numFmt w:val="bullet"/>
      <w:lvlText w:val=""/>
      <w:lvlJc w:val="left"/>
      <w:pPr>
        <w:ind w:left="5535" w:hanging="360"/>
      </w:pPr>
      <w:rPr>
        <w:rFonts w:ascii="Wingdings" w:hAnsi="Wingdings" w:hint="default"/>
      </w:rPr>
    </w:lvl>
  </w:abstractNum>
  <w:abstractNum w:abstractNumId="5" w15:restartNumberingAfterBreak="0">
    <w:nsid w:val="772B026A"/>
    <w:multiLevelType w:val="hybridMultilevel"/>
    <w:tmpl w:val="85D495B6"/>
    <w:lvl w:ilvl="0" w:tplc="69B0E286">
      <w:start w:val="1"/>
      <w:numFmt w:val="bullet"/>
      <w:lvlText w:val="•"/>
      <w:lvlJc w:val="left"/>
      <w:pPr>
        <w:ind w:left="843" w:hanging="360"/>
      </w:pPr>
      <w:rPr>
        <w:rFonts w:ascii="Times New Roman" w:hAnsi="Times New Roman"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F2"/>
    <w:rsid w:val="0002646F"/>
    <w:rsid w:val="00094087"/>
    <w:rsid w:val="000B08E4"/>
    <w:rsid w:val="000E6FF2"/>
    <w:rsid w:val="001017CF"/>
    <w:rsid w:val="00104CA6"/>
    <w:rsid w:val="00141EE4"/>
    <w:rsid w:val="001E31C9"/>
    <w:rsid w:val="00260BFD"/>
    <w:rsid w:val="00262D1A"/>
    <w:rsid w:val="002D47A1"/>
    <w:rsid w:val="002E3ADE"/>
    <w:rsid w:val="00354A3C"/>
    <w:rsid w:val="003635D4"/>
    <w:rsid w:val="003705AB"/>
    <w:rsid w:val="0039276D"/>
    <w:rsid w:val="003F0C4E"/>
    <w:rsid w:val="00493452"/>
    <w:rsid w:val="004954A7"/>
    <w:rsid w:val="004D500D"/>
    <w:rsid w:val="004E3CE8"/>
    <w:rsid w:val="004E7781"/>
    <w:rsid w:val="00501F6B"/>
    <w:rsid w:val="005868FE"/>
    <w:rsid w:val="005B336E"/>
    <w:rsid w:val="005C6AE9"/>
    <w:rsid w:val="006467C6"/>
    <w:rsid w:val="00652CF2"/>
    <w:rsid w:val="0068129F"/>
    <w:rsid w:val="00720504"/>
    <w:rsid w:val="00751250"/>
    <w:rsid w:val="00752680"/>
    <w:rsid w:val="00756DF8"/>
    <w:rsid w:val="00763B04"/>
    <w:rsid w:val="00780E53"/>
    <w:rsid w:val="00783632"/>
    <w:rsid w:val="007952D2"/>
    <w:rsid w:val="007F2157"/>
    <w:rsid w:val="007F2734"/>
    <w:rsid w:val="0086294B"/>
    <w:rsid w:val="00896C06"/>
    <w:rsid w:val="008A2D4B"/>
    <w:rsid w:val="008B3096"/>
    <w:rsid w:val="008C6E64"/>
    <w:rsid w:val="009007BF"/>
    <w:rsid w:val="00950F42"/>
    <w:rsid w:val="009568A3"/>
    <w:rsid w:val="00960EE2"/>
    <w:rsid w:val="009A72E6"/>
    <w:rsid w:val="009A77D8"/>
    <w:rsid w:val="009B1941"/>
    <w:rsid w:val="009F1F72"/>
    <w:rsid w:val="009F4C65"/>
    <w:rsid w:val="00A51DEA"/>
    <w:rsid w:val="00A7316B"/>
    <w:rsid w:val="00A815B5"/>
    <w:rsid w:val="00B168C1"/>
    <w:rsid w:val="00B67C70"/>
    <w:rsid w:val="00BC05F0"/>
    <w:rsid w:val="00C36E65"/>
    <w:rsid w:val="00C73DAC"/>
    <w:rsid w:val="00CD1F85"/>
    <w:rsid w:val="00CF409F"/>
    <w:rsid w:val="00D05996"/>
    <w:rsid w:val="00D16F97"/>
    <w:rsid w:val="00D64A0B"/>
    <w:rsid w:val="00D8735A"/>
    <w:rsid w:val="00E14FC9"/>
    <w:rsid w:val="00E2186F"/>
    <w:rsid w:val="00E53BA0"/>
    <w:rsid w:val="00E74ED0"/>
    <w:rsid w:val="00EA5542"/>
    <w:rsid w:val="00EF59D7"/>
    <w:rsid w:val="00F85E60"/>
    <w:rsid w:val="00F87003"/>
    <w:rsid w:val="00F9654F"/>
    <w:rsid w:val="00FB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4D90E"/>
  <w15:chartTrackingRefBased/>
  <w15:docId w15:val="{06E3C5C4-7119-4660-9700-5C1952FC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003"/>
    <w:rPr>
      <w:lang w:val="el-GR"/>
    </w:rPr>
  </w:style>
  <w:style w:type="paragraph" w:styleId="2">
    <w:name w:val="heading 2"/>
    <w:basedOn w:val="a"/>
    <w:next w:val="a"/>
    <w:link w:val="2Char"/>
    <w:uiPriority w:val="9"/>
    <w:unhideWhenUsed/>
    <w:qFormat/>
    <w:rsid w:val="00F870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6FF2"/>
    <w:pPr>
      <w:tabs>
        <w:tab w:val="center" w:pos="4320"/>
        <w:tab w:val="right" w:pos="8640"/>
      </w:tabs>
      <w:spacing w:after="0" w:line="240" w:lineRule="auto"/>
    </w:pPr>
  </w:style>
  <w:style w:type="character" w:customStyle="1" w:styleId="Char">
    <w:name w:val="Κεφαλίδα Char"/>
    <w:basedOn w:val="a0"/>
    <w:link w:val="a3"/>
    <w:uiPriority w:val="99"/>
    <w:rsid w:val="000E6FF2"/>
  </w:style>
  <w:style w:type="paragraph" w:styleId="a4">
    <w:name w:val="footer"/>
    <w:basedOn w:val="a"/>
    <w:link w:val="Char0"/>
    <w:uiPriority w:val="99"/>
    <w:unhideWhenUsed/>
    <w:rsid w:val="000E6FF2"/>
    <w:pPr>
      <w:tabs>
        <w:tab w:val="center" w:pos="4320"/>
        <w:tab w:val="right" w:pos="8640"/>
      </w:tabs>
      <w:spacing w:after="0" w:line="240" w:lineRule="auto"/>
    </w:pPr>
  </w:style>
  <w:style w:type="character" w:customStyle="1" w:styleId="Char0">
    <w:name w:val="Υποσέλιδο Char"/>
    <w:basedOn w:val="a0"/>
    <w:link w:val="a4"/>
    <w:uiPriority w:val="99"/>
    <w:rsid w:val="000E6FF2"/>
  </w:style>
  <w:style w:type="paragraph" w:styleId="a5">
    <w:name w:val="Balloon Text"/>
    <w:basedOn w:val="a"/>
    <w:link w:val="Char1"/>
    <w:uiPriority w:val="99"/>
    <w:semiHidden/>
    <w:unhideWhenUsed/>
    <w:rsid w:val="0002646F"/>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02646F"/>
    <w:rPr>
      <w:rFonts w:ascii="Segoe UI" w:hAnsi="Segoe UI" w:cs="Segoe UI"/>
      <w:sz w:val="18"/>
      <w:szCs w:val="18"/>
    </w:rPr>
  </w:style>
  <w:style w:type="paragraph" w:styleId="a6">
    <w:name w:val="List Paragraph"/>
    <w:basedOn w:val="a"/>
    <w:uiPriority w:val="34"/>
    <w:qFormat/>
    <w:rsid w:val="00FB6296"/>
    <w:pPr>
      <w:spacing w:line="256" w:lineRule="auto"/>
      <w:ind w:left="720"/>
      <w:contextualSpacing/>
    </w:pPr>
  </w:style>
  <w:style w:type="character" w:customStyle="1" w:styleId="2Char">
    <w:name w:val="Επικεφαλίδα 2 Char"/>
    <w:basedOn w:val="a0"/>
    <w:link w:val="2"/>
    <w:uiPriority w:val="9"/>
    <w:rsid w:val="00F87003"/>
    <w:rPr>
      <w:rFonts w:asciiTheme="majorHAnsi" w:eastAsiaTheme="majorEastAsia" w:hAnsiTheme="majorHAnsi" w:cstheme="majorBidi"/>
      <w:color w:val="2F5496" w:themeColor="accent1" w:themeShade="BF"/>
      <w:sz w:val="26"/>
      <w:szCs w:val="26"/>
      <w:lang w:val="el-GR"/>
    </w:rPr>
  </w:style>
  <w:style w:type="paragraph" w:styleId="Web">
    <w:name w:val="Normal (Web)"/>
    <w:basedOn w:val="a"/>
    <w:uiPriority w:val="99"/>
    <w:semiHidden/>
    <w:unhideWhenUsed/>
    <w:rsid w:val="009568A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896C06"/>
    <w:rPr>
      <w:color w:val="0563C1" w:themeColor="hyperlink"/>
      <w:u w:val="single"/>
    </w:rPr>
  </w:style>
  <w:style w:type="character" w:styleId="a7">
    <w:name w:val="Unresolved Mention"/>
    <w:basedOn w:val="a0"/>
    <w:uiPriority w:val="99"/>
    <w:semiHidden/>
    <w:unhideWhenUsed/>
    <w:rsid w:val="00896C06"/>
    <w:rPr>
      <w:color w:val="605E5C"/>
      <w:shd w:val="clear" w:color="auto" w:fill="E1DFDD"/>
    </w:rPr>
  </w:style>
  <w:style w:type="character" w:styleId="-0">
    <w:name w:val="FollowedHyperlink"/>
    <w:basedOn w:val="a0"/>
    <w:uiPriority w:val="99"/>
    <w:semiHidden/>
    <w:unhideWhenUsed/>
    <w:rsid w:val="00896C06"/>
    <w:rPr>
      <w:color w:val="954F72" w:themeColor="followedHyperlink"/>
      <w:u w:val="single"/>
    </w:rPr>
  </w:style>
  <w:style w:type="paragraph" w:styleId="a8">
    <w:name w:val="Revision"/>
    <w:hidden/>
    <w:uiPriority w:val="99"/>
    <w:semiHidden/>
    <w:rsid w:val="004D500D"/>
    <w:pPr>
      <w:spacing w:after="0" w:line="240" w:lineRule="auto"/>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8320">
      <w:bodyDiv w:val="1"/>
      <w:marLeft w:val="0"/>
      <w:marRight w:val="0"/>
      <w:marTop w:val="0"/>
      <w:marBottom w:val="0"/>
      <w:divBdr>
        <w:top w:val="none" w:sz="0" w:space="0" w:color="auto"/>
        <w:left w:val="none" w:sz="0" w:space="0" w:color="auto"/>
        <w:bottom w:val="none" w:sz="0" w:space="0" w:color="auto"/>
        <w:right w:val="none" w:sz="0" w:space="0" w:color="auto"/>
      </w:divBdr>
      <w:divsChild>
        <w:div w:id="1918660836">
          <w:marLeft w:val="432"/>
          <w:marRight w:val="432"/>
          <w:marTop w:val="0"/>
          <w:marBottom w:val="0"/>
          <w:divBdr>
            <w:top w:val="none" w:sz="0" w:space="0" w:color="auto"/>
            <w:left w:val="none" w:sz="0" w:space="0" w:color="auto"/>
            <w:bottom w:val="none" w:sz="0" w:space="0" w:color="auto"/>
            <w:right w:val="none" w:sz="0" w:space="0" w:color="auto"/>
          </w:divBdr>
        </w:div>
      </w:divsChild>
    </w:div>
    <w:div w:id="266623707">
      <w:bodyDiv w:val="1"/>
      <w:marLeft w:val="0"/>
      <w:marRight w:val="0"/>
      <w:marTop w:val="0"/>
      <w:marBottom w:val="0"/>
      <w:divBdr>
        <w:top w:val="none" w:sz="0" w:space="0" w:color="auto"/>
        <w:left w:val="none" w:sz="0" w:space="0" w:color="auto"/>
        <w:bottom w:val="none" w:sz="0" w:space="0" w:color="auto"/>
        <w:right w:val="none" w:sz="0" w:space="0" w:color="auto"/>
      </w:divBdr>
    </w:div>
    <w:div w:id="482694551">
      <w:bodyDiv w:val="1"/>
      <w:marLeft w:val="0"/>
      <w:marRight w:val="0"/>
      <w:marTop w:val="0"/>
      <w:marBottom w:val="0"/>
      <w:divBdr>
        <w:top w:val="none" w:sz="0" w:space="0" w:color="auto"/>
        <w:left w:val="none" w:sz="0" w:space="0" w:color="auto"/>
        <w:bottom w:val="none" w:sz="0" w:space="0" w:color="auto"/>
        <w:right w:val="none" w:sz="0" w:space="0" w:color="auto"/>
      </w:divBdr>
      <w:divsChild>
        <w:div w:id="1735660476">
          <w:marLeft w:val="432"/>
          <w:marRight w:val="432"/>
          <w:marTop w:val="0"/>
          <w:marBottom w:val="0"/>
          <w:divBdr>
            <w:top w:val="none" w:sz="0" w:space="0" w:color="auto"/>
            <w:left w:val="none" w:sz="0" w:space="0" w:color="auto"/>
            <w:bottom w:val="none" w:sz="0" w:space="0" w:color="auto"/>
            <w:right w:val="none" w:sz="0" w:space="0" w:color="auto"/>
          </w:divBdr>
        </w:div>
      </w:divsChild>
    </w:div>
    <w:div w:id="619074045">
      <w:bodyDiv w:val="1"/>
      <w:marLeft w:val="0"/>
      <w:marRight w:val="0"/>
      <w:marTop w:val="0"/>
      <w:marBottom w:val="0"/>
      <w:divBdr>
        <w:top w:val="none" w:sz="0" w:space="0" w:color="auto"/>
        <w:left w:val="none" w:sz="0" w:space="0" w:color="auto"/>
        <w:bottom w:val="none" w:sz="0" w:space="0" w:color="auto"/>
        <w:right w:val="none" w:sz="0" w:space="0" w:color="auto"/>
      </w:divBdr>
    </w:div>
    <w:div w:id="1298996793">
      <w:bodyDiv w:val="1"/>
      <w:marLeft w:val="0"/>
      <w:marRight w:val="0"/>
      <w:marTop w:val="0"/>
      <w:marBottom w:val="0"/>
      <w:divBdr>
        <w:top w:val="none" w:sz="0" w:space="0" w:color="auto"/>
        <w:left w:val="none" w:sz="0" w:space="0" w:color="auto"/>
        <w:bottom w:val="none" w:sz="0" w:space="0" w:color="auto"/>
        <w:right w:val="none" w:sz="0" w:space="0" w:color="auto"/>
      </w:divBdr>
    </w:div>
    <w:div w:id="1617757825">
      <w:bodyDiv w:val="1"/>
      <w:marLeft w:val="0"/>
      <w:marRight w:val="0"/>
      <w:marTop w:val="0"/>
      <w:marBottom w:val="0"/>
      <w:divBdr>
        <w:top w:val="none" w:sz="0" w:space="0" w:color="auto"/>
        <w:left w:val="none" w:sz="0" w:space="0" w:color="auto"/>
        <w:bottom w:val="none" w:sz="0" w:space="0" w:color="auto"/>
        <w:right w:val="none" w:sz="0" w:space="0" w:color="auto"/>
      </w:divBdr>
      <w:divsChild>
        <w:div w:id="1686859463">
          <w:marLeft w:val="432"/>
          <w:marRight w:val="432"/>
          <w:marTop w:val="0"/>
          <w:marBottom w:val="0"/>
          <w:divBdr>
            <w:top w:val="none" w:sz="0" w:space="0" w:color="auto"/>
            <w:left w:val="none" w:sz="0" w:space="0" w:color="auto"/>
            <w:bottom w:val="none" w:sz="0" w:space="0" w:color="auto"/>
            <w:right w:val="none" w:sz="0" w:space="0" w:color="auto"/>
          </w:divBdr>
        </w:div>
      </w:divsChild>
    </w:div>
    <w:div w:id="19446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r.europaikipisti.gr/el/oikonomika-apotelesm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Pages>
  <Words>1608</Words>
  <Characters>8686</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Χάρης Μαχαίρας</dc:creator>
  <cp:keywords/>
  <dc:description/>
  <cp:lastModifiedBy>vdenita</cp:lastModifiedBy>
  <cp:revision>3</cp:revision>
  <cp:lastPrinted>2021-11-17T10:36:00Z</cp:lastPrinted>
  <dcterms:created xsi:type="dcterms:W3CDTF">2021-11-17T13:21:00Z</dcterms:created>
  <dcterms:modified xsi:type="dcterms:W3CDTF">2021-11-17T13:28:00Z</dcterms:modified>
</cp:coreProperties>
</file>