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8E5F3" w14:textId="77777777" w:rsidR="0027364E" w:rsidRDefault="0027364E" w:rsidP="0027364E">
      <w:pPr>
        <w:pStyle w:val="a3"/>
        <w:tabs>
          <w:tab w:val="clear" w:pos="4153"/>
          <w:tab w:val="clear" w:pos="8306"/>
        </w:tabs>
        <w:outlineLvl w:val="0"/>
        <w:rPr>
          <w:rFonts w:ascii="Calibri" w:hAnsi="Calibri" w:cs="Tahoma"/>
          <w:szCs w:val="24"/>
          <w:lang w:val="en-US"/>
        </w:rPr>
      </w:pPr>
      <w:bookmarkStart w:id="0" w:name="_GoBack"/>
      <w:bookmarkEnd w:id="0"/>
    </w:p>
    <w:p w14:paraId="748A5741" w14:textId="77777777" w:rsidR="0027364E" w:rsidRPr="00E31782" w:rsidRDefault="0027364E" w:rsidP="0027364E">
      <w:pPr>
        <w:pStyle w:val="a3"/>
        <w:tabs>
          <w:tab w:val="clear" w:pos="4153"/>
          <w:tab w:val="clear" w:pos="8306"/>
        </w:tabs>
        <w:jc w:val="right"/>
        <w:outlineLvl w:val="0"/>
        <w:rPr>
          <w:rFonts w:ascii="Verdana" w:hAnsi="Verdana" w:cstheme="minorHAnsi"/>
          <w:sz w:val="20"/>
          <w:lang w:val="en-US"/>
        </w:rPr>
      </w:pPr>
      <w:r w:rsidRPr="00E31782">
        <w:rPr>
          <w:rFonts w:ascii="Verdana" w:hAnsi="Verdana" w:cstheme="minorHAnsi"/>
          <w:sz w:val="20"/>
          <w:lang w:val="en-US"/>
        </w:rPr>
        <w:t xml:space="preserve">Athens, </w:t>
      </w:r>
      <w:r w:rsidR="004E0422" w:rsidRPr="00E31782">
        <w:rPr>
          <w:rFonts w:ascii="Verdana" w:hAnsi="Verdana" w:cstheme="minorHAnsi"/>
          <w:sz w:val="20"/>
          <w:lang w:val="en-US"/>
        </w:rPr>
        <w:t>September</w:t>
      </w:r>
      <w:r w:rsidR="004A0DCE" w:rsidRPr="00E31782">
        <w:rPr>
          <w:rFonts w:ascii="Verdana" w:hAnsi="Verdana" w:cstheme="minorHAnsi"/>
          <w:sz w:val="20"/>
          <w:lang w:val="en-US"/>
        </w:rPr>
        <w:t xml:space="preserve"> </w:t>
      </w:r>
      <w:r w:rsidR="004E0422" w:rsidRPr="00E31782">
        <w:rPr>
          <w:rFonts w:ascii="Verdana" w:hAnsi="Verdana" w:cstheme="minorHAnsi"/>
          <w:sz w:val="20"/>
          <w:lang w:val="en-US"/>
        </w:rPr>
        <w:t>30</w:t>
      </w:r>
      <w:r w:rsidR="004E0422" w:rsidRPr="00E31782">
        <w:rPr>
          <w:rFonts w:ascii="Verdana" w:hAnsi="Verdana" w:cstheme="minorHAnsi"/>
          <w:sz w:val="20"/>
          <w:vertAlign w:val="superscript"/>
          <w:lang w:val="en-US"/>
        </w:rPr>
        <w:t>th</w:t>
      </w:r>
      <w:r w:rsidR="004A0DCE" w:rsidRPr="00E31782">
        <w:rPr>
          <w:rFonts w:ascii="Verdana" w:hAnsi="Verdana" w:cstheme="minorHAnsi"/>
          <w:sz w:val="20"/>
          <w:lang w:val="en-US"/>
        </w:rPr>
        <w:t>, 2021</w:t>
      </w:r>
    </w:p>
    <w:p w14:paraId="7A42551A" w14:textId="77777777" w:rsidR="0027364E" w:rsidRPr="00E31782" w:rsidRDefault="0027364E" w:rsidP="0027364E">
      <w:pPr>
        <w:pStyle w:val="a4"/>
        <w:jc w:val="both"/>
        <w:rPr>
          <w:rFonts w:ascii="Verdana" w:hAnsi="Verdana" w:cs="Tahoma"/>
          <w:sz w:val="20"/>
          <w:lang w:val="en-US"/>
        </w:rPr>
      </w:pPr>
    </w:p>
    <w:p w14:paraId="5DC7D209" w14:textId="77777777" w:rsidR="0027364E" w:rsidRPr="00E31782" w:rsidRDefault="0027364E" w:rsidP="0027364E">
      <w:pPr>
        <w:spacing w:line="360" w:lineRule="auto"/>
        <w:jc w:val="both"/>
        <w:rPr>
          <w:rFonts w:ascii="Verdana" w:hAnsi="Verdana"/>
          <w:b/>
          <w:sz w:val="20"/>
          <w:szCs w:val="20"/>
          <w:lang w:val="en-US"/>
        </w:rPr>
      </w:pPr>
    </w:p>
    <w:p w14:paraId="55D18C65" w14:textId="77777777" w:rsidR="006B20EF" w:rsidRDefault="004E0422" w:rsidP="0027364E">
      <w:pPr>
        <w:spacing w:line="360" w:lineRule="auto"/>
        <w:jc w:val="center"/>
        <w:rPr>
          <w:rFonts w:ascii="Verdana" w:hAnsi="Verdana" w:cstheme="minorHAnsi"/>
          <w:b/>
          <w:bCs/>
          <w:sz w:val="20"/>
          <w:szCs w:val="20"/>
          <w:u w:val="single"/>
          <w:lang w:val="en-US"/>
        </w:rPr>
      </w:pPr>
      <w:r w:rsidRPr="00E31782">
        <w:rPr>
          <w:rFonts w:ascii="Verdana" w:hAnsi="Verdana" w:cstheme="minorHAnsi"/>
          <w:b/>
          <w:bCs/>
          <w:sz w:val="20"/>
          <w:szCs w:val="20"/>
          <w:u w:val="single"/>
          <w:lang w:val="en-US"/>
        </w:rPr>
        <w:t xml:space="preserve">Financial Results First Half 2021: </w:t>
      </w:r>
    </w:p>
    <w:p w14:paraId="6303D276" w14:textId="77777777" w:rsidR="0027364E" w:rsidRPr="00E31782" w:rsidRDefault="004E0422" w:rsidP="0027364E">
      <w:pPr>
        <w:spacing w:line="360" w:lineRule="auto"/>
        <w:jc w:val="center"/>
        <w:rPr>
          <w:rFonts w:ascii="Verdana" w:hAnsi="Verdana" w:cstheme="minorHAnsi"/>
          <w:b/>
          <w:bCs/>
          <w:sz w:val="20"/>
          <w:szCs w:val="20"/>
          <w:u w:val="single"/>
          <w:lang w:val="en-GB"/>
        </w:rPr>
      </w:pPr>
      <w:r w:rsidRPr="00E31782">
        <w:rPr>
          <w:rFonts w:ascii="Verdana" w:hAnsi="Verdana" w:cstheme="minorHAnsi"/>
          <w:b/>
          <w:bCs/>
          <w:sz w:val="20"/>
          <w:szCs w:val="20"/>
          <w:u w:val="single"/>
          <w:lang w:val="en-US"/>
        </w:rPr>
        <w:t>Steady course focused on growth strategy</w:t>
      </w:r>
    </w:p>
    <w:p w14:paraId="24ADD58E" w14:textId="77777777" w:rsidR="0027364E" w:rsidRPr="00E31782" w:rsidRDefault="0027364E" w:rsidP="0027364E">
      <w:pPr>
        <w:spacing w:line="360" w:lineRule="auto"/>
        <w:jc w:val="both"/>
        <w:rPr>
          <w:rFonts w:ascii="Verdana" w:hAnsi="Verdana" w:cstheme="minorHAnsi"/>
          <w:b/>
          <w:bCs/>
          <w:sz w:val="20"/>
          <w:szCs w:val="20"/>
          <w:u w:val="single"/>
          <w:lang w:val="en-GB"/>
        </w:rPr>
      </w:pPr>
    </w:p>
    <w:p w14:paraId="3BE67683" w14:textId="77777777" w:rsidR="004E0422" w:rsidRPr="00E31782" w:rsidRDefault="004E0422" w:rsidP="004E0422">
      <w:pPr>
        <w:tabs>
          <w:tab w:val="left" w:pos="3931"/>
          <w:tab w:val="left" w:pos="4893"/>
          <w:tab w:val="left" w:pos="5855"/>
          <w:tab w:val="left" w:pos="7269"/>
        </w:tabs>
        <w:spacing w:line="360" w:lineRule="auto"/>
        <w:jc w:val="both"/>
        <w:rPr>
          <w:rFonts w:ascii="Verdana" w:hAnsi="Verdana" w:cstheme="minorHAnsi"/>
          <w:sz w:val="20"/>
          <w:szCs w:val="20"/>
          <w:lang w:val="en-US"/>
        </w:rPr>
      </w:pPr>
      <w:r w:rsidRPr="00E31782">
        <w:rPr>
          <w:rFonts w:ascii="Verdana" w:hAnsi="Verdana" w:cstheme="minorHAnsi"/>
          <w:sz w:val="20"/>
          <w:szCs w:val="20"/>
          <w:lang w:val="en-US"/>
        </w:rPr>
        <w:t>• Turnover of 156 million euros from 158.3 million euros in the corresponding half of 2020, reduced by 1.4%</w:t>
      </w:r>
    </w:p>
    <w:p w14:paraId="135D55D6" w14:textId="77777777" w:rsidR="004E0422" w:rsidRPr="00E31782" w:rsidRDefault="004E0422" w:rsidP="004E0422">
      <w:pPr>
        <w:tabs>
          <w:tab w:val="left" w:pos="3931"/>
          <w:tab w:val="left" w:pos="4893"/>
          <w:tab w:val="left" w:pos="5855"/>
          <w:tab w:val="left" w:pos="7269"/>
        </w:tabs>
        <w:spacing w:line="360" w:lineRule="auto"/>
        <w:jc w:val="both"/>
        <w:rPr>
          <w:rFonts w:ascii="Verdana" w:hAnsi="Verdana" w:cstheme="minorHAnsi"/>
          <w:sz w:val="20"/>
          <w:szCs w:val="20"/>
          <w:lang w:val="en-US"/>
        </w:rPr>
      </w:pPr>
      <w:r w:rsidRPr="00E31782">
        <w:rPr>
          <w:rFonts w:ascii="Verdana" w:hAnsi="Verdana" w:cstheme="minorHAnsi"/>
          <w:sz w:val="20"/>
          <w:szCs w:val="20"/>
          <w:lang w:val="en-US"/>
        </w:rPr>
        <w:t xml:space="preserve">• Increase in total </w:t>
      </w:r>
      <w:r w:rsidR="006B20EF">
        <w:rPr>
          <w:rFonts w:ascii="Verdana" w:hAnsi="Verdana" w:cstheme="minorHAnsi"/>
          <w:sz w:val="20"/>
          <w:szCs w:val="20"/>
          <w:lang w:val="en-US"/>
        </w:rPr>
        <w:t xml:space="preserve">water </w:t>
      </w:r>
      <w:r w:rsidRPr="00E31782">
        <w:rPr>
          <w:rFonts w:ascii="Verdana" w:hAnsi="Verdana" w:cstheme="minorHAnsi"/>
          <w:sz w:val="20"/>
          <w:szCs w:val="20"/>
          <w:lang w:val="en-US"/>
        </w:rPr>
        <w:t>consumption by 1.4% to 194.8 million cubic meters from 192.2 million cubic meters in the corresponding period of 2020</w:t>
      </w:r>
    </w:p>
    <w:p w14:paraId="7EB2A8D6" w14:textId="77777777" w:rsidR="004E0422" w:rsidRPr="00E31782" w:rsidRDefault="004E0422" w:rsidP="004E0422">
      <w:pPr>
        <w:tabs>
          <w:tab w:val="left" w:pos="3931"/>
          <w:tab w:val="left" w:pos="4893"/>
          <w:tab w:val="left" w:pos="5855"/>
          <w:tab w:val="left" w:pos="7269"/>
        </w:tabs>
        <w:spacing w:line="360" w:lineRule="auto"/>
        <w:jc w:val="both"/>
        <w:rPr>
          <w:rFonts w:ascii="Verdana" w:hAnsi="Verdana" w:cstheme="minorHAnsi"/>
          <w:sz w:val="20"/>
          <w:szCs w:val="20"/>
          <w:lang w:val="en-US"/>
        </w:rPr>
      </w:pPr>
      <w:r w:rsidRPr="00E31782">
        <w:rPr>
          <w:rFonts w:ascii="Verdana" w:hAnsi="Verdana" w:cstheme="minorHAnsi"/>
          <w:sz w:val="20"/>
          <w:szCs w:val="20"/>
          <w:lang w:val="en-US"/>
        </w:rPr>
        <w:t>• EBITDA 35.3 million euros from 36.7 million euros in the first half of 2020 (-3.7%)</w:t>
      </w:r>
    </w:p>
    <w:p w14:paraId="27041F7E" w14:textId="77777777" w:rsidR="0027364E" w:rsidRPr="00E31782" w:rsidRDefault="004E0422" w:rsidP="004E0422">
      <w:pPr>
        <w:tabs>
          <w:tab w:val="left" w:pos="3931"/>
          <w:tab w:val="left" w:pos="4893"/>
          <w:tab w:val="left" w:pos="5855"/>
          <w:tab w:val="left" w:pos="7269"/>
        </w:tabs>
        <w:spacing w:line="360" w:lineRule="auto"/>
        <w:jc w:val="both"/>
        <w:rPr>
          <w:rFonts w:ascii="Verdana" w:hAnsi="Verdana" w:cstheme="minorHAnsi"/>
          <w:sz w:val="20"/>
          <w:szCs w:val="20"/>
          <w:lang w:val="en-US"/>
        </w:rPr>
      </w:pPr>
      <w:r w:rsidRPr="00E31782">
        <w:rPr>
          <w:rFonts w:ascii="Verdana" w:hAnsi="Verdana" w:cstheme="minorHAnsi"/>
          <w:sz w:val="20"/>
          <w:szCs w:val="20"/>
          <w:lang w:val="en-US"/>
        </w:rPr>
        <w:t>• Profits before taxes of 23.9 million euros from 24 million euros in the corresponding period of 2020 (-0.6%)</w:t>
      </w:r>
    </w:p>
    <w:p w14:paraId="6438E117" w14:textId="77777777" w:rsidR="008E4F99" w:rsidRPr="00E31782" w:rsidRDefault="008E4F99" w:rsidP="004E0422">
      <w:pPr>
        <w:tabs>
          <w:tab w:val="left" w:pos="3931"/>
          <w:tab w:val="left" w:pos="4893"/>
          <w:tab w:val="left" w:pos="5855"/>
          <w:tab w:val="left" w:pos="7269"/>
        </w:tabs>
        <w:spacing w:line="360" w:lineRule="auto"/>
        <w:jc w:val="both"/>
        <w:rPr>
          <w:rFonts w:ascii="Verdana" w:hAnsi="Verdana" w:cstheme="minorHAnsi"/>
          <w:sz w:val="20"/>
          <w:szCs w:val="20"/>
          <w:lang w:val="en-US"/>
        </w:rPr>
      </w:pPr>
    </w:p>
    <w:p w14:paraId="752011A9" w14:textId="1700F475" w:rsidR="004E0422" w:rsidRPr="00E31782" w:rsidRDefault="004E0422"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r w:rsidRPr="00E31782">
        <w:rPr>
          <w:rFonts w:ascii="Verdana" w:hAnsi="Verdana" w:cstheme="minorHAnsi"/>
          <w:i/>
          <w:sz w:val="20"/>
          <w:szCs w:val="20"/>
          <w:lang w:val="en-US"/>
        </w:rPr>
        <w:t>"In the first half of 2021 we faced new challenges, while remaining committed to achieving our goals and strategy, demonstrating stab</w:t>
      </w:r>
      <w:r w:rsidR="006B20EF">
        <w:rPr>
          <w:rFonts w:ascii="Verdana" w:hAnsi="Verdana" w:cstheme="minorHAnsi"/>
          <w:i/>
          <w:sz w:val="20"/>
          <w:szCs w:val="20"/>
          <w:lang w:val="en-US"/>
        </w:rPr>
        <w:t xml:space="preserve">ility in our results," Harry </w:t>
      </w:r>
      <w:proofErr w:type="spellStart"/>
      <w:r w:rsidR="006B20EF">
        <w:rPr>
          <w:rFonts w:ascii="Verdana" w:hAnsi="Verdana" w:cstheme="minorHAnsi"/>
          <w:i/>
          <w:sz w:val="20"/>
          <w:szCs w:val="20"/>
          <w:lang w:val="en-US"/>
        </w:rPr>
        <w:t>Sachinis</w:t>
      </w:r>
      <w:proofErr w:type="spellEnd"/>
      <w:r w:rsidR="006B20EF">
        <w:rPr>
          <w:rFonts w:ascii="Verdana" w:hAnsi="Verdana" w:cstheme="minorHAnsi"/>
          <w:i/>
          <w:sz w:val="20"/>
          <w:szCs w:val="20"/>
          <w:lang w:val="en-US"/>
        </w:rPr>
        <w:t>, CEO of EYDAP, stated</w:t>
      </w:r>
      <w:r w:rsidRPr="00E31782">
        <w:rPr>
          <w:rFonts w:ascii="Verdana" w:hAnsi="Verdana" w:cstheme="minorHAnsi"/>
          <w:i/>
          <w:sz w:val="20"/>
          <w:szCs w:val="20"/>
          <w:lang w:val="en-US"/>
        </w:rPr>
        <w:t xml:space="preserve"> during the announcement of the six months’ financial results of 2021.</w:t>
      </w:r>
    </w:p>
    <w:p w14:paraId="1D69B016" w14:textId="77777777" w:rsidR="005E1903" w:rsidRDefault="005E1903"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p>
    <w:p w14:paraId="6A526638" w14:textId="38DD5098" w:rsidR="004E0422" w:rsidRPr="00E31782" w:rsidRDefault="004E0422"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r w:rsidRPr="00E31782">
        <w:rPr>
          <w:rFonts w:ascii="Verdana" w:hAnsi="Verdana" w:cstheme="minorHAnsi"/>
          <w:i/>
          <w:sz w:val="20"/>
          <w:szCs w:val="20"/>
          <w:lang w:val="en-US"/>
        </w:rPr>
        <w:t>Under</w:t>
      </w:r>
      <w:r w:rsidR="00070DD3">
        <w:rPr>
          <w:rFonts w:ascii="Verdana" w:hAnsi="Verdana" w:cstheme="minorHAnsi"/>
          <w:i/>
          <w:sz w:val="20"/>
          <w:szCs w:val="20"/>
          <w:lang w:val="en-US"/>
        </w:rPr>
        <w:t xml:space="preserve"> the</w:t>
      </w:r>
      <w:r w:rsidRPr="00E31782">
        <w:rPr>
          <w:rFonts w:ascii="Verdana" w:hAnsi="Verdana" w:cstheme="minorHAnsi"/>
          <w:i/>
          <w:sz w:val="20"/>
          <w:szCs w:val="20"/>
          <w:lang w:val="en-US"/>
        </w:rPr>
        <w:t xml:space="preserve"> Law 4812/2021, the exclusive right of EYDAP for the provision of water supply and sewerage services was renewed until 2040, </w:t>
      </w:r>
      <w:r w:rsidR="00070DD3">
        <w:rPr>
          <w:rFonts w:ascii="Verdana" w:hAnsi="Verdana" w:cstheme="minorHAnsi"/>
          <w:i/>
          <w:sz w:val="20"/>
          <w:szCs w:val="20"/>
          <w:lang w:val="en-US"/>
        </w:rPr>
        <w:t>setting</w:t>
      </w:r>
      <w:r w:rsidRPr="00E31782">
        <w:rPr>
          <w:rFonts w:ascii="Verdana" w:hAnsi="Verdana" w:cstheme="minorHAnsi"/>
          <w:i/>
          <w:sz w:val="20"/>
          <w:szCs w:val="20"/>
          <w:lang w:val="en-US"/>
        </w:rPr>
        <w:t xml:space="preserve"> the </w:t>
      </w:r>
      <w:r w:rsidR="00070DD3">
        <w:rPr>
          <w:rFonts w:ascii="Verdana" w:hAnsi="Verdana" w:cstheme="minorHAnsi"/>
          <w:i/>
          <w:sz w:val="20"/>
          <w:szCs w:val="20"/>
          <w:lang w:val="en-US"/>
        </w:rPr>
        <w:t xml:space="preserve">grounds </w:t>
      </w:r>
      <w:r w:rsidRPr="00E31782">
        <w:rPr>
          <w:rFonts w:ascii="Verdana" w:hAnsi="Verdana" w:cstheme="minorHAnsi"/>
          <w:i/>
          <w:sz w:val="20"/>
          <w:szCs w:val="20"/>
          <w:lang w:val="en-US"/>
        </w:rPr>
        <w:t>for the settlement of various issues of the past, the signing of the new contract with the Greek State and the development course of the company.</w:t>
      </w:r>
    </w:p>
    <w:p w14:paraId="41264413" w14:textId="77777777" w:rsidR="005E1903" w:rsidRDefault="005E1903"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p>
    <w:p w14:paraId="76286CD9" w14:textId="7A94FFCD" w:rsidR="004E0422" w:rsidRPr="00E31782" w:rsidRDefault="004E0422"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r w:rsidRPr="00E31782">
        <w:rPr>
          <w:rFonts w:ascii="Verdana" w:hAnsi="Verdana" w:cstheme="minorHAnsi"/>
          <w:i/>
          <w:sz w:val="20"/>
          <w:szCs w:val="20"/>
          <w:lang w:val="en-US"/>
        </w:rPr>
        <w:t xml:space="preserve">At the same time, we continued to manage the special conditions of the pandemic without affecting the smooth operation of the Company. With </w:t>
      </w:r>
      <w:r w:rsidR="00D912DA" w:rsidRPr="00E31782">
        <w:rPr>
          <w:rFonts w:ascii="Verdana" w:hAnsi="Verdana" w:cstheme="minorHAnsi"/>
          <w:i/>
          <w:sz w:val="20"/>
          <w:szCs w:val="20"/>
          <w:lang w:val="en-US"/>
        </w:rPr>
        <w:t xml:space="preserve">the employees as an </w:t>
      </w:r>
      <w:r w:rsidRPr="00E31782">
        <w:rPr>
          <w:rFonts w:ascii="Verdana" w:hAnsi="Verdana" w:cstheme="minorHAnsi"/>
          <w:i/>
          <w:sz w:val="20"/>
          <w:szCs w:val="20"/>
          <w:lang w:val="en-US"/>
        </w:rPr>
        <w:t>ally, who have a very high vaccination rate of 85%, EYDAP offers consumers the security required as a covid-free company.</w:t>
      </w:r>
    </w:p>
    <w:p w14:paraId="650FF525" w14:textId="77777777" w:rsidR="005E1903" w:rsidRDefault="005E1903"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p>
    <w:p w14:paraId="07E4C05D" w14:textId="740E5641" w:rsidR="00D912DA" w:rsidRPr="00E31782" w:rsidRDefault="00D912DA"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r w:rsidRPr="00E31782">
        <w:rPr>
          <w:rFonts w:ascii="Verdana" w:hAnsi="Verdana" w:cstheme="minorHAnsi"/>
          <w:i/>
          <w:sz w:val="20"/>
          <w:szCs w:val="20"/>
          <w:lang w:val="en-US"/>
        </w:rPr>
        <w:t>The obligation of the Company to comply with Law 4412/2016, in combination with the appeals from both parties, led to time delays in the appointment of a postal contractor and created significant problems in the issuance of bills and invoicing, but we make every effort to</w:t>
      </w:r>
      <w:r w:rsidR="008E4F99" w:rsidRPr="00E31782">
        <w:rPr>
          <w:rFonts w:ascii="Verdana" w:hAnsi="Verdana"/>
          <w:i/>
          <w:sz w:val="20"/>
          <w:szCs w:val="20"/>
          <w:lang w:val="en-US"/>
        </w:rPr>
        <w:t xml:space="preserve"> </w:t>
      </w:r>
      <w:r w:rsidR="008E4F99" w:rsidRPr="00E31782">
        <w:rPr>
          <w:rFonts w:ascii="Verdana" w:hAnsi="Verdana" w:cstheme="minorHAnsi"/>
          <w:i/>
          <w:sz w:val="20"/>
          <w:szCs w:val="20"/>
          <w:lang w:val="en-US"/>
        </w:rPr>
        <w:t>definitively</w:t>
      </w:r>
      <w:r w:rsidRPr="00E31782">
        <w:rPr>
          <w:rFonts w:ascii="Verdana" w:hAnsi="Verdana" w:cstheme="minorHAnsi"/>
          <w:i/>
          <w:sz w:val="20"/>
          <w:szCs w:val="20"/>
          <w:lang w:val="en-US"/>
        </w:rPr>
        <w:t xml:space="preserve"> resolve the issue.</w:t>
      </w:r>
    </w:p>
    <w:p w14:paraId="6DB46941" w14:textId="77777777" w:rsidR="008E4F99" w:rsidRPr="00E31782" w:rsidRDefault="008E4F99" w:rsidP="004E0422">
      <w:pPr>
        <w:tabs>
          <w:tab w:val="left" w:pos="3931"/>
          <w:tab w:val="left" w:pos="4893"/>
          <w:tab w:val="left" w:pos="5855"/>
          <w:tab w:val="left" w:pos="7269"/>
        </w:tabs>
        <w:spacing w:line="360" w:lineRule="auto"/>
        <w:jc w:val="both"/>
        <w:rPr>
          <w:rFonts w:ascii="Verdana" w:hAnsi="Verdana" w:cstheme="minorHAnsi"/>
          <w:i/>
          <w:sz w:val="20"/>
          <w:szCs w:val="20"/>
          <w:lang w:val="en-US"/>
        </w:rPr>
      </w:pPr>
      <w:r w:rsidRPr="00E31782">
        <w:rPr>
          <w:rFonts w:ascii="Verdana" w:hAnsi="Verdana" w:cstheme="minorHAnsi"/>
          <w:i/>
          <w:sz w:val="20"/>
          <w:szCs w:val="20"/>
          <w:lang w:val="en-US"/>
        </w:rPr>
        <w:lastRenderedPageBreak/>
        <w:t>EYDAP will continue its reform program by creating the appropriate environment for the development course and the corresponding results, within the principles of Sustainable Development. "</w:t>
      </w:r>
    </w:p>
    <w:p w14:paraId="1BC48072" w14:textId="77777777" w:rsidR="005E1903" w:rsidRDefault="005E1903" w:rsidP="008E4F99">
      <w:pPr>
        <w:tabs>
          <w:tab w:val="left" w:pos="3931"/>
          <w:tab w:val="left" w:pos="4893"/>
          <w:tab w:val="left" w:pos="5855"/>
          <w:tab w:val="left" w:pos="7269"/>
        </w:tabs>
        <w:spacing w:line="360" w:lineRule="auto"/>
        <w:jc w:val="both"/>
        <w:rPr>
          <w:rFonts w:ascii="Verdana" w:hAnsi="Verdana" w:cstheme="minorHAnsi"/>
          <w:sz w:val="20"/>
          <w:szCs w:val="20"/>
          <w:lang w:val="en-US"/>
        </w:rPr>
      </w:pPr>
    </w:p>
    <w:p w14:paraId="3D36C8AB" w14:textId="303C7E42" w:rsidR="008E4F99" w:rsidRPr="00E31782" w:rsidRDefault="008E4F99" w:rsidP="008E4F99">
      <w:pPr>
        <w:tabs>
          <w:tab w:val="left" w:pos="3931"/>
          <w:tab w:val="left" w:pos="4893"/>
          <w:tab w:val="left" w:pos="5855"/>
          <w:tab w:val="left" w:pos="7269"/>
        </w:tabs>
        <w:spacing w:line="360" w:lineRule="auto"/>
        <w:jc w:val="both"/>
        <w:rPr>
          <w:rFonts w:ascii="Verdana" w:hAnsi="Verdana" w:cstheme="minorHAnsi"/>
          <w:sz w:val="20"/>
          <w:szCs w:val="20"/>
          <w:lang w:val="en-US"/>
        </w:rPr>
      </w:pPr>
      <w:r w:rsidRPr="00E31782">
        <w:rPr>
          <w:rFonts w:ascii="Verdana" w:hAnsi="Verdana" w:cstheme="minorHAnsi"/>
          <w:sz w:val="20"/>
          <w:szCs w:val="20"/>
          <w:lang w:val="en-US"/>
        </w:rPr>
        <w:t>In the first half of 2021, turnover was decreased by 1.4% (-2.2 million euros) and amounted to 156 million euros from 158.3 million euros in the corresponding half of 2020.</w:t>
      </w:r>
    </w:p>
    <w:p w14:paraId="629B4859" w14:textId="77777777" w:rsidR="00070DD3" w:rsidRDefault="00070DD3" w:rsidP="008E4F99">
      <w:pPr>
        <w:tabs>
          <w:tab w:val="left" w:pos="3931"/>
          <w:tab w:val="left" w:pos="4893"/>
          <w:tab w:val="left" w:pos="5855"/>
          <w:tab w:val="left" w:pos="7269"/>
        </w:tabs>
        <w:spacing w:line="360" w:lineRule="auto"/>
        <w:jc w:val="both"/>
        <w:rPr>
          <w:rFonts w:ascii="Verdana" w:hAnsi="Verdana" w:cstheme="minorHAnsi"/>
          <w:sz w:val="20"/>
          <w:szCs w:val="20"/>
          <w:lang w:val="en-US"/>
        </w:rPr>
      </w:pPr>
    </w:p>
    <w:p w14:paraId="79BD0AE1" w14:textId="5C7A805D" w:rsidR="008E4F99" w:rsidRPr="00E31782" w:rsidRDefault="008E4F99" w:rsidP="008E4F99">
      <w:pPr>
        <w:tabs>
          <w:tab w:val="left" w:pos="3931"/>
          <w:tab w:val="left" w:pos="4893"/>
          <w:tab w:val="left" w:pos="5855"/>
          <w:tab w:val="left" w:pos="7269"/>
        </w:tabs>
        <w:spacing w:line="360" w:lineRule="auto"/>
        <w:jc w:val="both"/>
        <w:rPr>
          <w:rFonts w:ascii="Verdana" w:hAnsi="Verdana" w:cstheme="minorHAnsi"/>
          <w:sz w:val="20"/>
          <w:szCs w:val="20"/>
          <w:lang w:val="en-US"/>
        </w:rPr>
      </w:pPr>
      <w:r w:rsidRPr="00E31782">
        <w:rPr>
          <w:rFonts w:ascii="Verdana" w:hAnsi="Verdana" w:cstheme="minorHAnsi"/>
          <w:sz w:val="20"/>
          <w:szCs w:val="20"/>
          <w:lang w:val="en-US"/>
        </w:rPr>
        <w:t>Total consumption increased by 1.4% to 194.8 million cubic meters from 192.2 million cubic meters in the corresponding period of 2020.</w:t>
      </w:r>
    </w:p>
    <w:p w14:paraId="5C185361" w14:textId="77777777" w:rsidR="00070DD3" w:rsidRDefault="00070DD3" w:rsidP="008E4F99">
      <w:pPr>
        <w:tabs>
          <w:tab w:val="left" w:pos="3931"/>
          <w:tab w:val="left" w:pos="4893"/>
          <w:tab w:val="left" w:pos="5855"/>
          <w:tab w:val="left" w:pos="7269"/>
        </w:tabs>
        <w:spacing w:line="360" w:lineRule="auto"/>
        <w:jc w:val="both"/>
        <w:rPr>
          <w:rFonts w:ascii="Verdana" w:hAnsi="Verdana" w:cstheme="minorHAnsi"/>
          <w:sz w:val="20"/>
          <w:szCs w:val="20"/>
          <w:lang w:val="en-US"/>
        </w:rPr>
      </w:pPr>
    </w:p>
    <w:p w14:paraId="645753DF" w14:textId="0C59622F" w:rsidR="008E4F99" w:rsidRPr="00E31782" w:rsidRDefault="008E4F99" w:rsidP="008E4F99">
      <w:pPr>
        <w:tabs>
          <w:tab w:val="left" w:pos="3931"/>
          <w:tab w:val="left" w:pos="4893"/>
          <w:tab w:val="left" w:pos="5855"/>
          <w:tab w:val="left" w:pos="7269"/>
        </w:tabs>
        <w:spacing w:line="360" w:lineRule="auto"/>
        <w:jc w:val="both"/>
        <w:rPr>
          <w:rFonts w:ascii="Verdana" w:hAnsi="Verdana" w:cstheme="minorHAnsi"/>
          <w:sz w:val="20"/>
          <w:szCs w:val="20"/>
          <w:lang w:val="en-US"/>
        </w:rPr>
      </w:pPr>
      <w:r w:rsidRPr="00E31782">
        <w:rPr>
          <w:rFonts w:ascii="Verdana" w:hAnsi="Verdana" w:cstheme="minorHAnsi"/>
          <w:sz w:val="20"/>
          <w:szCs w:val="20"/>
          <w:lang w:val="en-US"/>
        </w:rPr>
        <w:t>Due to the time delay of the appointment of a postal service contractor, as a consequence of the time-consuming judicial involvement of the relevant tender after continuous and bilateral appeals of the participants, there was a suspension of distribution of bills and therefore a temporary suspension of their issuance. From 27.04.2021 until 15.06.2021 no invoicing of the Company's customers took place, leading to:</w:t>
      </w:r>
    </w:p>
    <w:p w14:paraId="05396EDA" w14:textId="22CF735C" w:rsidR="008E4F99" w:rsidRPr="00E31782" w:rsidRDefault="008E4F99" w:rsidP="008E4F99">
      <w:pPr>
        <w:numPr>
          <w:ilvl w:val="0"/>
          <w:numId w:val="2"/>
        </w:num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 xml:space="preserve">increase in the balance of customers through the Contractual Assets including the formation of provision for non-invoiced income for this period, estimated at approximately </w:t>
      </w:r>
      <w:r w:rsidR="00070DD3">
        <w:rPr>
          <w:rFonts w:ascii="Verdana" w:hAnsi="Verdana"/>
          <w:sz w:val="20"/>
          <w:szCs w:val="20"/>
          <w:lang w:val="en-US"/>
        </w:rPr>
        <w:t>e</w:t>
      </w:r>
      <w:r w:rsidRPr="00E31782">
        <w:rPr>
          <w:rFonts w:ascii="Verdana" w:hAnsi="Verdana"/>
          <w:sz w:val="20"/>
          <w:szCs w:val="20"/>
          <w:lang w:val="en-US"/>
        </w:rPr>
        <w:t>uro 20 million and</w:t>
      </w:r>
      <w:r w:rsidR="009473F1" w:rsidRPr="00E31782">
        <w:rPr>
          <w:rFonts w:ascii="Verdana" w:hAnsi="Verdana"/>
          <w:sz w:val="20"/>
          <w:szCs w:val="20"/>
          <w:lang w:val="en-US"/>
        </w:rPr>
        <w:tab/>
      </w:r>
    </w:p>
    <w:p w14:paraId="075E56B3" w14:textId="0B895848" w:rsidR="008E4F99" w:rsidRPr="00E31782" w:rsidRDefault="008E4F99" w:rsidP="008E4F99">
      <w:pPr>
        <w:numPr>
          <w:ilvl w:val="0"/>
          <w:numId w:val="2"/>
        </w:num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decrease in collectibles for the two months of June-July by 59% compared to the corresponding period last year</w:t>
      </w:r>
      <w:r w:rsidR="00070DD3">
        <w:rPr>
          <w:rFonts w:ascii="Verdana" w:hAnsi="Verdana"/>
          <w:sz w:val="20"/>
          <w:szCs w:val="20"/>
          <w:lang w:val="en-US"/>
        </w:rPr>
        <w:t>.</w:t>
      </w:r>
    </w:p>
    <w:p w14:paraId="4930B8AA" w14:textId="77777777" w:rsidR="009473F1" w:rsidRPr="00E31782" w:rsidRDefault="009473F1" w:rsidP="009473F1">
      <w:pPr>
        <w:autoSpaceDE w:val="0"/>
        <w:autoSpaceDN w:val="0"/>
        <w:adjustRightInd w:val="0"/>
        <w:spacing w:line="360" w:lineRule="auto"/>
        <w:jc w:val="both"/>
        <w:rPr>
          <w:rFonts w:ascii="Verdana" w:hAnsi="Verdana"/>
          <w:sz w:val="20"/>
          <w:szCs w:val="20"/>
          <w:lang w:val="en-US"/>
        </w:rPr>
      </w:pPr>
    </w:p>
    <w:p w14:paraId="6D292EF7" w14:textId="2F0C7D0D" w:rsidR="009473F1" w:rsidRDefault="009473F1" w:rsidP="009473F1">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Operating cost (cost of sales, administrative expenses, distribution expenses and impairment of financial assets) amounted to € 139.0 million, recording a decrease of approximately -1.3 million € (or -0.9 %).</w:t>
      </w:r>
    </w:p>
    <w:p w14:paraId="0D262CB9" w14:textId="77777777" w:rsidR="00070DD3" w:rsidRPr="00E31782" w:rsidRDefault="00070DD3" w:rsidP="009473F1">
      <w:pPr>
        <w:autoSpaceDE w:val="0"/>
        <w:autoSpaceDN w:val="0"/>
        <w:adjustRightInd w:val="0"/>
        <w:spacing w:line="360" w:lineRule="auto"/>
        <w:jc w:val="both"/>
        <w:rPr>
          <w:rFonts w:ascii="Verdana" w:hAnsi="Verdana"/>
          <w:sz w:val="20"/>
          <w:szCs w:val="20"/>
          <w:lang w:val="en-US"/>
        </w:rPr>
      </w:pPr>
    </w:p>
    <w:p w14:paraId="5FFBB86F" w14:textId="505B1BD6" w:rsidR="009473F1" w:rsidRPr="00E31782" w:rsidRDefault="009473F1" w:rsidP="009473F1">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 xml:space="preserve">Earnings before interest, tax, depreciation and amortization (EBITDA)* decreased by 3.7% or -1.4 million € amounting to € 35.3 million versus € 36.7 million in the first half of 2020, while EBITDA margin remained stable. </w:t>
      </w:r>
    </w:p>
    <w:p w14:paraId="7EF3A548" w14:textId="77777777" w:rsidR="00330FB2" w:rsidRDefault="00330FB2" w:rsidP="009473F1">
      <w:pPr>
        <w:autoSpaceDE w:val="0"/>
        <w:autoSpaceDN w:val="0"/>
        <w:adjustRightInd w:val="0"/>
        <w:spacing w:line="360" w:lineRule="auto"/>
        <w:jc w:val="both"/>
        <w:rPr>
          <w:rFonts w:ascii="Verdana" w:hAnsi="Verdana"/>
          <w:sz w:val="20"/>
          <w:szCs w:val="20"/>
          <w:lang w:val="en-US"/>
        </w:rPr>
      </w:pPr>
    </w:p>
    <w:p w14:paraId="56DF5A28" w14:textId="6418B390" w:rsidR="009473F1" w:rsidRPr="00E31782" w:rsidRDefault="009473F1" w:rsidP="009473F1">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Earnings before interest and tax (EBIT)</w:t>
      </w:r>
      <w:r w:rsidRPr="00E31782">
        <w:rPr>
          <w:rFonts w:ascii="Verdana" w:hAnsi="Verdana"/>
          <w:sz w:val="20"/>
          <w:szCs w:val="20"/>
          <w:vertAlign w:val="superscript"/>
          <w:lang w:val="en-US"/>
        </w:rPr>
        <w:t>*</w:t>
      </w:r>
      <w:r w:rsidRPr="00E31782">
        <w:rPr>
          <w:rFonts w:ascii="Verdana" w:hAnsi="Verdana"/>
          <w:sz w:val="20"/>
          <w:szCs w:val="20"/>
          <w:lang w:val="en-US"/>
        </w:rPr>
        <w:t xml:space="preserve"> decreased amounting to € 17.8 million versus € 18.6 million in the first half of 2020. EBIT margin stood at 11% versus 12% in the first half of 2020.  </w:t>
      </w:r>
    </w:p>
    <w:p w14:paraId="789E6F59" w14:textId="77777777" w:rsidR="00330FB2" w:rsidRDefault="00330FB2" w:rsidP="009473F1">
      <w:pPr>
        <w:autoSpaceDE w:val="0"/>
        <w:autoSpaceDN w:val="0"/>
        <w:adjustRightInd w:val="0"/>
        <w:spacing w:line="360" w:lineRule="auto"/>
        <w:jc w:val="both"/>
        <w:rPr>
          <w:rFonts w:ascii="Verdana" w:hAnsi="Verdana"/>
          <w:sz w:val="20"/>
          <w:szCs w:val="20"/>
          <w:lang w:val="en-US"/>
        </w:rPr>
      </w:pPr>
    </w:p>
    <w:p w14:paraId="51929695" w14:textId="22AD979F" w:rsidR="009473F1" w:rsidRPr="00E31782" w:rsidRDefault="009473F1" w:rsidP="009473F1">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In the first half of 2021, profit before tax amounted to € 23.9 million versus € 24 million in the first half of 2020.</w:t>
      </w:r>
    </w:p>
    <w:p w14:paraId="575C1AB5" w14:textId="77777777" w:rsidR="00330FB2" w:rsidRDefault="00330FB2" w:rsidP="009473F1">
      <w:pPr>
        <w:autoSpaceDE w:val="0"/>
        <w:autoSpaceDN w:val="0"/>
        <w:adjustRightInd w:val="0"/>
        <w:spacing w:line="360" w:lineRule="auto"/>
        <w:jc w:val="both"/>
        <w:rPr>
          <w:rFonts w:ascii="Verdana" w:hAnsi="Verdana"/>
          <w:sz w:val="20"/>
          <w:szCs w:val="20"/>
          <w:lang w:val="en-US"/>
        </w:rPr>
      </w:pPr>
    </w:p>
    <w:p w14:paraId="7FA7BB1A" w14:textId="71229933" w:rsidR="009473F1" w:rsidRPr="00E31782" w:rsidRDefault="009473F1" w:rsidP="009473F1">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Profit after tax decreased by € 9.7 million versus € 14.3 million in the first half of 2020, recording decrease by 32%. Net profit margin stood at 6.2% versus 9.1% in the first half of 2020.</w:t>
      </w:r>
    </w:p>
    <w:p w14:paraId="60C1C0A4" w14:textId="7F2DCDA3" w:rsidR="00C60390" w:rsidRPr="00E31782" w:rsidRDefault="00C60390" w:rsidP="00C60390">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Operating Cash Flows amounted to +17.6 million € versus +34.3 million € in the corresponding period of 2020. Cash Flows from investing activities were negative standing at -8.</w:t>
      </w:r>
      <w:r w:rsidR="00330FB2">
        <w:rPr>
          <w:rFonts w:ascii="Verdana" w:hAnsi="Verdana"/>
          <w:sz w:val="20"/>
          <w:szCs w:val="20"/>
          <w:lang w:val="en-US"/>
        </w:rPr>
        <w:t>6</w:t>
      </w:r>
      <w:r w:rsidRPr="00E31782">
        <w:rPr>
          <w:rFonts w:ascii="Verdana" w:hAnsi="Verdana"/>
          <w:sz w:val="20"/>
          <w:szCs w:val="20"/>
          <w:lang w:val="en-US"/>
        </w:rPr>
        <w:t xml:space="preserve"> </w:t>
      </w:r>
      <w:r w:rsidR="00330FB2">
        <w:rPr>
          <w:rFonts w:ascii="Verdana" w:hAnsi="Verdana"/>
          <w:sz w:val="20"/>
          <w:szCs w:val="20"/>
          <w:lang w:val="en-US"/>
        </w:rPr>
        <w:t xml:space="preserve">million </w:t>
      </w:r>
      <w:r w:rsidR="00330FB2" w:rsidRPr="00E31782">
        <w:rPr>
          <w:rFonts w:ascii="Verdana" w:hAnsi="Verdana"/>
          <w:sz w:val="20"/>
          <w:szCs w:val="20"/>
          <w:lang w:val="en-US"/>
        </w:rPr>
        <w:t>€</w:t>
      </w:r>
      <w:r w:rsidRPr="00E31782">
        <w:rPr>
          <w:rFonts w:ascii="Verdana" w:hAnsi="Verdana"/>
          <w:sz w:val="20"/>
          <w:szCs w:val="20"/>
          <w:lang w:val="en-US"/>
        </w:rPr>
        <w:t xml:space="preserve"> (due to the acquisition of tanging fixed assets amounting to -13.</w:t>
      </w:r>
      <w:r w:rsidR="00330FB2">
        <w:rPr>
          <w:rFonts w:ascii="Verdana" w:hAnsi="Verdana"/>
          <w:sz w:val="20"/>
          <w:szCs w:val="20"/>
          <w:lang w:val="en-US"/>
        </w:rPr>
        <w:t>5</w:t>
      </w:r>
      <w:r w:rsidRPr="00E31782">
        <w:rPr>
          <w:rFonts w:ascii="Verdana" w:hAnsi="Verdana"/>
          <w:sz w:val="20"/>
          <w:szCs w:val="20"/>
          <w:lang w:val="en-US"/>
        </w:rPr>
        <w:t xml:space="preserve"> </w:t>
      </w:r>
      <w:r w:rsidR="00330FB2">
        <w:rPr>
          <w:rFonts w:ascii="Verdana" w:hAnsi="Verdana"/>
          <w:sz w:val="20"/>
          <w:szCs w:val="20"/>
          <w:lang w:val="en-US"/>
        </w:rPr>
        <w:t>million</w:t>
      </w:r>
      <w:r w:rsidRPr="00E31782">
        <w:rPr>
          <w:rFonts w:ascii="Verdana" w:hAnsi="Verdana"/>
          <w:sz w:val="20"/>
          <w:szCs w:val="20"/>
          <w:lang w:val="en-US"/>
        </w:rPr>
        <w:t xml:space="preserve"> € and the interest collected amounting to +3.</w:t>
      </w:r>
      <w:r w:rsidR="00330FB2">
        <w:rPr>
          <w:rFonts w:ascii="Verdana" w:hAnsi="Verdana"/>
          <w:sz w:val="20"/>
          <w:szCs w:val="20"/>
          <w:lang w:val="en-US"/>
        </w:rPr>
        <w:t>7</w:t>
      </w:r>
      <w:r w:rsidRPr="00E31782">
        <w:rPr>
          <w:rFonts w:ascii="Verdana" w:hAnsi="Verdana"/>
          <w:sz w:val="20"/>
          <w:szCs w:val="20"/>
          <w:lang w:val="en-US"/>
        </w:rPr>
        <w:t xml:space="preserve"> </w:t>
      </w:r>
      <w:r w:rsidR="00330FB2">
        <w:rPr>
          <w:rFonts w:ascii="Verdana" w:hAnsi="Verdana"/>
          <w:sz w:val="20"/>
          <w:szCs w:val="20"/>
          <w:lang w:val="en-US"/>
        </w:rPr>
        <w:t>million</w:t>
      </w:r>
      <w:r w:rsidRPr="00E31782">
        <w:rPr>
          <w:rFonts w:ascii="Verdana" w:hAnsi="Verdana"/>
          <w:sz w:val="20"/>
          <w:szCs w:val="20"/>
          <w:lang w:val="en-US"/>
        </w:rPr>
        <w:t xml:space="preserve"> €) </w:t>
      </w:r>
    </w:p>
    <w:p w14:paraId="471E3DAC" w14:textId="77777777" w:rsidR="00330FB2" w:rsidRDefault="00330FB2" w:rsidP="00C60390">
      <w:pPr>
        <w:autoSpaceDE w:val="0"/>
        <w:autoSpaceDN w:val="0"/>
        <w:adjustRightInd w:val="0"/>
        <w:spacing w:line="360" w:lineRule="auto"/>
        <w:jc w:val="both"/>
        <w:rPr>
          <w:rFonts w:ascii="Verdana" w:hAnsi="Verdana"/>
          <w:sz w:val="20"/>
          <w:szCs w:val="20"/>
          <w:lang w:val="en-US"/>
        </w:rPr>
      </w:pPr>
    </w:p>
    <w:p w14:paraId="04083883" w14:textId="6C44FD52" w:rsidR="00C60390" w:rsidRPr="00E31782" w:rsidRDefault="00C60390" w:rsidP="00C60390">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 xml:space="preserve">In the current period, the formed </w:t>
      </w:r>
      <w:r w:rsidR="007248E1">
        <w:rPr>
          <w:rFonts w:ascii="Verdana" w:hAnsi="Verdana"/>
          <w:sz w:val="20"/>
          <w:szCs w:val="20"/>
          <w:lang w:val="en-US"/>
        </w:rPr>
        <w:t>provision</w:t>
      </w:r>
      <w:r w:rsidRPr="00E31782">
        <w:rPr>
          <w:rFonts w:ascii="Verdana" w:hAnsi="Verdana"/>
          <w:sz w:val="20"/>
          <w:szCs w:val="20"/>
          <w:lang w:val="en-US"/>
        </w:rPr>
        <w:t xml:space="preserve"> for the additional cost of the raw water amounts to approximately 3.9 million euros. The calculation of the formed </w:t>
      </w:r>
      <w:proofErr w:type="spellStart"/>
      <w:r w:rsidR="007248E1">
        <w:rPr>
          <w:rFonts w:ascii="Verdana" w:hAnsi="Verdana"/>
          <w:sz w:val="20"/>
          <w:szCs w:val="20"/>
          <w:lang w:val="en-US"/>
        </w:rPr>
        <w:t>provision</w:t>
      </w:r>
      <w:r w:rsidRPr="00E31782">
        <w:rPr>
          <w:rFonts w:ascii="Verdana" w:hAnsi="Verdana"/>
          <w:sz w:val="20"/>
          <w:szCs w:val="20"/>
          <w:lang w:val="en-US"/>
        </w:rPr>
        <w:t>was</w:t>
      </w:r>
      <w:proofErr w:type="spellEnd"/>
      <w:r w:rsidRPr="00E31782">
        <w:rPr>
          <w:rFonts w:ascii="Verdana" w:hAnsi="Verdana"/>
          <w:sz w:val="20"/>
          <w:szCs w:val="20"/>
          <w:lang w:val="en-US"/>
        </w:rPr>
        <w:t xml:space="preserve"> based on the discussions with the Greek State as well as on the draft contracts (Exclusive Contract and Operation and Maintenance Contract) that have been prepared since July </w:t>
      </w:r>
      <w:r w:rsidR="00330FB2">
        <w:rPr>
          <w:rFonts w:ascii="Verdana" w:hAnsi="Verdana"/>
          <w:sz w:val="20"/>
          <w:szCs w:val="20"/>
          <w:lang w:val="en-US"/>
        </w:rPr>
        <w:t xml:space="preserve">and </w:t>
      </w:r>
      <w:r w:rsidRPr="00E31782">
        <w:rPr>
          <w:rFonts w:ascii="Verdana" w:hAnsi="Verdana"/>
          <w:sz w:val="20"/>
          <w:szCs w:val="20"/>
          <w:lang w:val="en-US"/>
        </w:rPr>
        <w:t xml:space="preserve">since </w:t>
      </w:r>
      <w:r w:rsidR="00330FB2">
        <w:rPr>
          <w:rFonts w:ascii="Verdana" w:hAnsi="Verdana"/>
          <w:sz w:val="20"/>
          <w:szCs w:val="20"/>
          <w:lang w:val="en-US"/>
        </w:rPr>
        <w:t xml:space="preserve">then, have </w:t>
      </w:r>
      <w:r w:rsidRPr="00E31782">
        <w:rPr>
          <w:rFonts w:ascii="Verdana" w:hAnsi="Verdana"/>
          <w:sz w:val="20"/>
          <w:szCs w:val="20"/>
          <w:lang w:val="en-US"/>
        </w:rPr>
        <w:t xml:space="preserve">been processed by the competent Ministries for their final configuration. </w:t>
      </w:r>
      <w:r w:rsidR="00900FB0" w:rsidRPr="00E31782">
        <w:rPr>
          <w:rFonts w:ascii="Verdana" w:hAnsi="Verdana"/>
          <w:sz w:val="20"/>
          <w:szCs w:val="20"/>
          <w:lang w:val="en-US"/>
        </w:rPr>
        <w:t>Based on those drafts</w:t>
      </w:r>
      <w:r w:rsidRPr="00E31782">
        <w:rPr>
          <w:rFonts w:ascii="Verdana" w:hAnsi="Verdana"/>
          <w:sz w:val="20"/>
          <w:szCs w:val="20"/>
          <w:lang w:val="en-US"/>
        </w:rPr>
        <w:t xml:space="preserve">, the Company undertakes for the first three years, the maintenance of the External Water Supply System, with an annual flat fee. This annual fee for the years 2021-2023 will not be paid by the Fixed Assets Company, since, according to the </w:t>
      </w:r>
      <w:r w:rsidR="007248E1">
        <w:rPr>
          <w:rFonts w:ascii="Verdana" w:hAnsi="Verdana"/>
          <w:sz w:val="20"/>
          <w:szCs w:val="20"/>
          <w:lang w:val="en-US"/>
        </w:rPr>
        <w:t>provision</w:t>
      </w:r>
      <w:r w:rsidRPr="00E31782">
        <w:rPr>
          <w:rFonts w:ascii="Verdana" w:hAnsi="Verdana"/>
          <w:sz w:val="20"/>
          <w:szCs w:val="20"/>
          <w:lang w:val="en-US"/>
        </w:rPr>
        <w:t xml:space="preserve"> of the draft contracts, these amounts have been taken into account in the calculation of the raw water supply prices throughout the duration of the contract</w:t>
      </w:r>
      <w:proofErr w:type="gramStart"/>
      <w:r w:rsidRPr="00E31782">
        <w:rPr>
          <w:rFonts w:ascii="Verdana" w:hAnsi="Verdana"/>
          <w:sz w:val="20"/>
          <w:szCs w:val="20"/>
          <w:lang w:val="en-US"/>
        </w:rPr>
        <w:t>. ,</w:t>
      </w:r>
      <w:proofErr w:type="gramEnd"/>
      <w:r w:rsidRPr="00E31782">
        <w:rPr>
          <w:rFonts w:ascii="Verdana" w:hAnsi="Verdana"/>
          <w:sz w:val="20"/>
          <w:szCs w:val="20"/>
          <w:lang w:val="en-US"/>
        </w:rPr>
        <w:t xml:space="preserve"> i.e. for the years 2021 to 2040. Consequently, these amounts will be apportioned in these years and will be charged accordingly to the raw water supply costs of those years. It is noted that from the fourth year, or from the time that a new contractor will emerge, provided there is a relevant extension of up to one year, in the relevant tender procedure and respectively in the Operation and Maintenance Contract, EYDAP SA will be entitled to receive a flat fee from the Fixed Assets Company, for the operation and maintenance services</w:t>
      </w:r>
      <w:r w:rsidR="005E1903">
        <w:rPr>
          <w:rFonts w:ascii="Verdana" w:hAnsi="Verdana"/>
          <w:sz w:val="20"/>
          <w:szCs w:val="20"/>
          <w:lang w:val="en-US"/>
        </w:rPr>
        <w:t xml:space="preserve"> offered to</w:t>
      </w:r>
      <w:r w:rsidRPr="00E31782">
        <w:rPr>
          <w:rFonts w:ascii="Verdana" w:hAnsi="Verdana"/>
          <w:sz w:val="20"/>
          <w:szCs w:val="20"/>
          <w:lang w:val="en-US"/>
        </w:rPr>
        <w:t xml:space="preserve"> the External Water Supply System</w:t>
      </w:r>
      <w:r w:rsidR="005E1903">
        <w:rPr>
          <w:rFonts w:ascii="Verdana" w:hAnsi="Verdana"/>
          <w:sz w:val="20"/>
          <w:szCs w:val="20"/>
          <w:lang w:val="en-US"/>
        </w:rPr>
        <w:t>.</w:t>
      </w:r>
    </w:p>
    <w:p w14:paraId="7CDD4A9B" w14:textId="77777777" w:rsidR="005E1903" w:rsidRDefault="005E1903" w:rsidP="00E31782">
      <w:pPr>
        <w:autoSpaceDE w:val="0"/>
        <w:autoSpaceDN w:val="0"/>
        <w:adjustRightInd w:val="0"/>
        <w:spacing w:line="360" w:lineRule="auto"/>
        <w:jc w:val="both"/>
        <w:rPr>
          <w:rFonts w:ascii="Verdana" w:hAnsi="Verdana"/>
          <w:sz w:val="20"/>
          <w:szCs w:val="20"/>
          <w:lang w:val="en-US"/>
        </w:rPr>
      </w:pPr>
    </w:p>
    <w:p w14:paraId="4A6CA067" w14:textId="75B2C4CF" w:rsidR="00E31782" w:rsidRPr="00E31782" w:rsidRDefault="00E31782" w:rsidP="00E31782">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Regarding the management of the pandemic, guided by the corporate social responsibility towards its employees and the citizens, EYDAP harmonized its operation from the beginning</w:t>
      </w:r>
      <w:r w:rsidR="005E1903">
        <w:rPr>
          <w:rFonts w:ascii="Verdana" w:hAnsi="Verdana"/>
          <w:sz w:val="20"/>
          <w:szCs w:val="20"/>
          <w:lang w:val="en-US"/>
        </w:rPr>
        <w:t xml:space="preserve"> of the pandemic outbreak</w:t>
      </w:r>
      <w:r w:rsidRPr="00E31782">
        <w:rPr>
          <w:rFonts w:ascii="Verdana" w:hAnsi="Verdana"/>
          <w:sz w:val="20"/>
          <w:szCs w:val="20"/>
          <w:lang w:val="en-US"/>
        </w:rPr>
        <w:t xml:space="preserve"> with special health protocols and the relevant legal framework while </w:t>
      </w:r>
      <w:r w:rsidR="005E1903">
        <w:rPr>
          <w:rFonts w:ascii="Verdana" w:hAnsi="Verdana"/>
          <w:sz w:val="20"/>
          <w:szCs w:val="20"/>
          <w:lang w:val="en-US"/>
        </w:rPr>
        <w:t>enhancing</w:t>
      </w:r>
      <w:r w:rsidRPr="00E31782">
        <w:rPr>
          <w:rFonts w:ascii="Verdana" w:hAnsi="Verdana"/>
          <w:sz w:val="20"/>
          <w:szCs w:val="20"/>
          <w:lang w:val="en-US"/>
        </w:rPr>
        <w:t xml:space="preserve"> the </w:t>
      </w:r>
      <w:r w:rsidR="005E1903">
        <w:rPr>
          <w:rFonts w:ascii="Verdana" w:hAnsi="Verdana"/>
          <w:sz w:val="20"/>
          <w:szCs w:val="20"/>
          <w:lang w:val="en-US"/>
        </w:rPr>
        <w:t xml:space="preserve">digital </w:t>
      </w:r>
      <w:r w:rsidRPr="00E31782">
        <w:rPr>
          <w:rFonts w:ascii="Verdana" w:hAnsi="Verdana"/>
          <w:sz w:val="20"/>
          <w:szCs w:val="20"/>
          <w:lang w:val="en-US"/>
        </w:rPr>
        <w:t>services.</w:t>
      </w:r>
    </w:p>
    <w:p w14:paraId="44526CB4" w14:textId="77777777" w:rsidR="00E31782" w:rsidRPr="00E31782" w:rsidRDefault="00E31782" w:rsidP="00E31782">
      <w:pPr>
        <w:autoSpaceDE w:val="0"/>
        <w:autoSpaceDN w:val="0"/>
        <w:adjustRightInd w:val="0"/>
        <w:spacing w:line="360" w:lineRule="auto"/>
        <w:jc w:val="both"/>
        <w:rPr>
          <w:rFonts w:ascii="Verdana" w:hAnsi="Verdana"/>
          <w:sz w:val="20"/>
          <w:szCs w:val="20"/>
          <w:lang w:val="en-US"/>
        </w:rPr>
      </w:pPr>
    </w:p>
    <w:p w14:paraId="292114B3" w14:textId="2D7E2DB3" w:rsidR="009473F1" w:rsidRPr="00E31782" w:rsidRDefault="00E31782" w:rsidP="00E31782">
      <w:pPr>
        <w:autoSpaceDE w:val="0"/>
        <w:autoSpaceDN w:val="0"/>
        <w:adjustRightInd w:val="0"/>
        <w:spacing w:line="360" w:lineRule="auto"/>
        <w:jc w:val="both"/>
        <w:rPr>
          <w:rFonts w:ascii="Verdana" w:hAnsi="Verdana"/>
          <w:sz w:val="20"/>
          <w:szCs w:val="20"/>
          <w:lang w:val="en-US"/>
        </w:rPr>
      </w:pPr>
      <w:r w:rsidRPr="00E31782">
        <w:rPr>
          <w:rFonts w:ascii="Verdana" w:hAnsi="Verdana"/>
          <w:sz w:val="20"/>
          <w:szCs w:val="20"/>
          <w:lang w:val="en-US"/>
        </w:rPr>
        <w:t xml:space="preserve">The Company has set clear </w:t>
      </w:r>
      <w:r w:rsidR="005E1903">
        <w:rPr>
          <w:rFonts w:ascii="Verdana" w:hAnsi="Verdana"/>
          <w:sz w:val="20"/>
          <w:szCs w:val="20"/>
          <w:lang w:val="en-US"/>
        </w:rPr>
        <w:t xml:space="preserve">ESG </w:t>
      </w:r>
      <w:r w:rsidRPr="00E31782">
        <w:rPr>
          <w:rFonts w:ascii="Verdana" w:hAnsi="Verdana"/>
          <w:sz w:val="20"/>
          <w:szCs w:val="20"/>
          <w:lang w:val="en-US"/>
        </w:rPr>
        <w:t>strategic goals</w:t>
      </w:r>
      <w:r w:rsidR="005E1903">
        <w:rPr>
          <w:rFonts w:ascii="Verdana" w:hAnsi="Verdana"/>
          <w:sz w:val="20"/>
          <w:szCs w:val="20"/>
          <w:lang w:val="en-US"/>
        </w:rPr>
        <w:t xml:space="preserve">, </w:t>
      </w:r>
      <w:r w:rsidRPr="00E31782">
        <w:rPr>
          <w:rFonts w:ascii="Verdana" w:hAnsi="Verdana"/>
          <w:sz w:val="20"/>
          <w:szCs w:val="20"/>
          <w:lang w:val="en-US"/>
        </w:rPr>
        <w:t>aiming at the continuous improvement of the respective indic</w:t>
      </w:r>
      <w:r w:rsidR="005E1903">
        <w:rPr>
          <w:rFonts w:ascii="Verdana" w:hAnsi="Verdana"/>
          <w:sz w:val="20"/>
          <w:szCs w:val="20"/>
          <w:lang w:val="en-US"/>
        </w:rPr>
        <w:t>es</w:t>
      </w:r>
      <w:r w:rsidRPr="00E31782">
        <w:rPr>
          <w:rFonts w:ascii="Verdana" w:hAnsi="Verdana"/>
          <w:sz w:val="20"/>
          <w:szCs w:val="20"/>
          <w:lang w:val="en-US"/>
        </w:rPr>
        <w:t>.</w:t>
      </w:r>
    </w:p>
    <w:sectPr w:rsidR="009473F1" w:rsidRPr="00E3178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14AED" w14:textId="77777777" w:rsidR="00CF0F24" w:rsidRDefault="00CF0F24" w:rsidP="0027364E">
      <w:r>
        <w:separator/>
      </w:r>
    </w:p>
  </w:endnote>
  <w:endnote w:type="continuationSeparator" w:id="0">
    <w:p w14:paraId="5918877B" w14:textId="77777777" w:rsidR="00CF0F24" w:rsidRDefault="00CF0F24" w:rsidP="0027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E666" w14:textId="77777777" w:rsidR="00CF0F24" w:rsidRDefault="00CF0F24" w:rsidP="0027364E">
      <w:r>
        <w:separator/>
      </w:r>
    </w:p>
  </w:footnote>
  <w:footnote w:type="continuationSeparator" w:id="0">
    <w:p w14:paraId="6CBCB8D0" w14:textId="77777777" w:rsidR="00CF0F24" w:rsidRDefault="00CF0F24" w:rsidP="002736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7EE3" w14:textId="77777777" w:rsidR="00C60390" w:rsidRDefault="00C60390">
    <w:pPr>
      <w:pStyle w:val="a5"/>
    </w:pPr>
    <w:r w:rsidRPr="00B727EC">
      <w:rPr>
        <w:noProof/>
      </w:rPr>
      <w:drawing>
        <wp:inline distT="0" distB="0" distL="0" distR="0" wp14:anchorId="562B2C4F" wp14:editId="514FC7F6">
          <wp:extent cx="1539240" cy="753245"/>
          <wp:effectExtent l="0" t="0" r="3810" b="8890"/>
          <wp:docPr id="1" name="Εικόνα 1" descr="eyda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dap logo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631" cy="7617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770F7"/>
    <w:multiLevelType w:val="hybridMultilevel"/>
    <w:tmpl w:val="166C93E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 w15:restartNumberingAfterBreak="0">
    <w:nsid w:val="5FD36CFA"/>
    <w:multiLevelType w:val="hybridMultilevel"/>
    <w:tmpl w:val="079C2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4E"/>
    <w:rsid w:val="00070DD3"/>
    <w:rsid w:val="0027364E"/>
    <w:rsid w:val="00323E9D"/>
    <w:rsid w:val="00330FB2"/>
    <w:rsid w:val="00387508"/>
    <w:rsid w:val="004048F3"/>
    <w:rsid w:val="004A0DCE"/>
    <w:rsid w:val="004E0422"/>
    <w:rsid w:val="005E1903"/>
    <w:rsid w:val="006B20EF"/>
    <w:rsid w:val="007248E1"/>
    <w:rsid w:val="007F454B"/>
    <w:rsid w:val="00857CEF"/>
    <w:rsid w:val="008E4F99"/>
    <w:rsid w:val="00900FB0"/>
    <w:rsid w:val="009473F1"/>
    <w:rsid w:val="00AF5A71"/>
    <w:rsid w:val="00C60390"/>
    <w:rsid w:val="00CF0F24"/>
    <w:rsid w:val="00D912DA"/>
    <w:rsid w:val="00E04CA2"/>
    <w:rsid w:val="00E317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4B36"/>
  <w15:chartTrackingRefBased/>
  <w15:docId w15:val="{D150AF8A-C6CB-4759-9545-5E20ACF4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64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7364E"/>
    <w:pPr>
      <w:tabs>
        <w:tab w:val="center" w:pos="4153"/>
        <w:tab w:val="right" w:pos="8306"/>
      </w:tabs>
      <w:spacing w:line="360" w:lineRule="auto"/>
      <w:jc w:val="both"/>
    </w:pPr>
    <w:rPr>
      <w:rFonts w:ascii="Arial" w:hAnsi="Arial"/>
      <w:szCs w:val="20"/>
    </w:rPr>
  </w:style>
  <w:style w:type="character" w:customStyle="1" w:styleId="Char">
    <w:name w:val="Υποσέλιδο Char"/>
    <w:basedOn w:val="a0"/>
    <w:link w:val="a3"/>
    <w:rsid w:val="0027364E"/>
    <w:rPr>
      <w:rFonts w:ascii="Arial" w:eastAsia="Times New Roman" w:hAnsi="Arial" w:cs="Times New Roman"/>
      <w:sz w:val="24"/>
      <w:szCs w:val="20"/>
      <w:lang w:eastAsia="el-GR"/>
    </w:rPr>
  </w:style>
  <w:style w:type="paragraph" w:styleId="a4">
    <w:name w:val="Body Text"/>
    <w:basedOn w:val="a"/>
    <w:link w:val="Char0"/>
    <w:rsid w:val="0027364E"/>
    <w:rPr>
      <w:szCs w:val="20"/>
    </w:rPr>
  </w:style>
  <w:style w:type="character" w:customStyle="1" w:styleId="Char0">
    <w:name w:val="Σώμα κειμένου Char"/>
    <w:basedOn w:val="a0"/>
    <w:link w:val="a4"/>
    <w:rsid w:val="0027364E"/>
    <w:rPr>
      <w:rFonts w:ascii="Times New Roman" w:eastAsia="Times New Roman" w:hAnsi="Times New Roman" w:cs="Times New Roman"/>
      <w:sz w:val="24"/>
      <w:szCs w:val="20"/>
      <w:lang w:eastAsia="el-GR"/>
    </w:rPr>
  </w:style>
  <w:style w:type="paragraph" w:styleId="a5">
    <w:name w:val="header"/>
    <w:basedOn w:val="a"/>
    <w:link w:val="Char1"/>
    <w:uiPriority w:val="99"/>
    <w:unhideWhenUsed/>
    <w:rsid w:val="0027364E"/>
    <w:pPr>
      <w:tabs>
        <w:tab w:val="center" w:pos="4153"/>
        <w:tab w:val="right" w:pos="8306"/>
      </w:tabs>
    </w:pPr>
  </w:style>
  <w:style w:type="character" w:customStyle="1" w:styleId="Char1">
    <w:name w:val="Κεφαλίδα Char"/>
    <w:basedOn w:val="a0"/>
    <w:link w:val="a5"/>
    <w:uiPriority w:val="99"/>
    <w:rsid w:val="0027364E"/>
    <w:rPr>
      <w:rFonts w:ascii="Times New Roman" w:eastAsia="Times New Roman" w:hAnsi="Times New Roman" w:cs="Times New Roman"/>
      <w:sz w:val="24"/>
      <w:szCs w:val="24"/>
      <w:lang w:eastAsia="el-GR"/>
    </w:rPr>
  </w:style>
  <w:style w:type="paragraph" w:styleId="a6">
    <w:name w:val="List Paragraph"/>
    <w:basedOn w:val="a"/>
    <w:uiPriority w:val="34"/>
    <w:qFormat/>
    <w:rsid w:val="004E0422"/>
    <w:pPr>
      <w:ind w:left="720"/>
      <w:contextualSpacing/>
    </w:pPr>
  </w:style>
  <w:style w:type="paragraph" w:styleId="a7">
    <w:name w:val="footnote text"/>
    <w:basedOn w:val="a"/>
    <w:link w:val="Char2"/>
    <w:uiPriority w:val="99"/>
    <w:semiHidden/>
    <w:unhideWhenUsed/>
    <w:rsid w:val="009473F1"/>
    <w:rPr>
      <w:sz w:val="20"/>
      <w:szCs w:val="20"/>
    </w:rPr>
  </w:style>
  <w:style w:type="character" w:customStyle="1" w:styleId="Char2">
    <w:name w:val="Κείμενο υποσημείωσης Char"/>
    <w:basedOn w:val="a0"/>
    <w:link w:val="a7"/>
    <w:uiPriority w:val="99"/>
    <w:semiHidden/>
    <w:rsid w:val="009473F1"/>
    <w:rPr>
      <w:rFonts w:ascii="Times New Roman" w:eastAsia="Times New Roman" w:hAnsi="Times New Roman" w:cs="Times New Roman"/>
      <w:sz w:val="20"/>
      <w:szCs w:val="20"/>
      <w:lang w:eastAsia="el-GR"/>
    </w:rPr>
  </w:style>
  <w:style w:type="character" w:styleId="a8">
    <w:name w:val="footnote reference"/>
    <w:uiPriority w:val="99"/>
    <w:unhideWhenUsed/>
    <w:rsid w:val="00947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5122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ΜΑΡΙΝΟΣ ΝΙΚΟΛΑΟΣ</dc:creator>
  <cp:keywords/>
  <dc:description/>
  <cp:lastModifiedBy>user</cp:lastModifiedBy>
  <cp:revision>2</cp:revision>
  <dcterms:created xsi:type="dcterms:W3CDTF">2021-09-30T04:58:00Z</dcterms:created>
  <dcterms:modified xsi:type="dcterms:W3CDTF">2021-09-30T04:58:00Z</dcterms:modified>
</cp:coreProperties>
</file>