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5B" w:rsidRDefault="0034765B" w:rsidP="0034765B">
      <w:pPr>
        <w:pStyle w:val="Default"/>
        <w:jc w:val="center"/>
        <w:rPr>
          <w:b/>
          <w:bCs/>
          <w:lang w:val="en-US"/>
        </w:rPr>
      </w:pPr>
      <w:r>
        <w:rPr>
          <w:b/>
          <w:bCs/>
          <w:noProof/>
          <w:sz w:val="22"/>
          <w:szCs w:val="22"/>
          <w:lang w:eastAsia="el-GR"/>
        </w:rPr>
        <w:drawing>
          <wp:inline distT="0" distB="0" distL="0" distR="0">
            <wp:extent cx="993945" cy="762894"/>
            <wp:effectExtent l="0" t="0" r="0" b="0"/>
            <wp:docPr id="179" name="Εικόνα 70" descr="Κίτρινη Ελληνική Πεταλού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0" descr="Κίτρινη Ελληνική Πεταλούδα"/>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2903" cy="777445"/>
                    </a:xfrm>
                    <a:prstGeom prst="rect">
                      <a:avLst/>
                    </a:prstGeom>
                    <a:noFill/>
                  </pic:spPr>
                </pic:pic>
              </a:graphicData>
            </a:graphic>
          </wp:inline>
        </w:drawing>
      </w:r>
    </w:p>
    <w:p w:rsidR="00E31135" w:rsidRPr="00E31135" w:rsidRDefault="00E31135" w:rsidP="0034765B">
      <w:pPr>
        <w:pStyle w:val="Default"/>
        <w:jc w:val="center"/>
        <w:rPr>
          <w:b/>
          <w:bCs/>
          <w:lang w:val="en-US"/>
        </w:rPr>
      </w:pPr>
    </w:p>
    <w:p w:rsidR="0034765B" w:rsidRPr="0034765B" w:rsidRDefault="0034765B" w:rsidP="0034765B">
      <w:pPr>
        <w:shd w:val="clear" w:color="auto" w:fill="FFFFFF"/>
        <w:tabs>
          <w:tab w:val="left" w:leader="dot" w:pos="4387"/>
        </w:tabs>
        <w:spacing w:line="240" w:lineRule="auto"/>
        <w:jc w:val="both"/>
        <w:rPr>
          <w:rFonts w:ascii="Tahoma" w:hAnsi="Tahoma" w:cs="Tahoma"/>
          <w:b/>
          <w:bCs/>
        </w:rPr>
      </w:pPr>
      <w:r w:rsidRPr="0034765B">
        <w:rPr>
          <w:rFonts w:ascii="Tahoma" w:hAnsi="Tahoma" w:cs="Tahoma"/>
          <w:b/>
          <w:bCs/>
        </w:rPr>
        <w:t>ΕΛ. Δ. ΜΟΥΖΑΚΗΣ ΑΝΩΝΥΜΗ ΕΤΑΙΡΕΙΑ ΒΙΟΜΗΧΑΝΙΑΣ ΕΜΠΟΡΙΟΥ ΜΕΛΕΤΩΝ ΚΑΙ ΕΠΕΝΔΥΣΕΩΝ</w:t>
      </w:r>
      <w:r>
        <w:rPr>
          <w:rFonts w:ascii="Tahoma" w:hAnsi="Tahoma" w:cs="Tahoma"/>
          <w:b/>
          <w:bCs/>
        </w:rPr>
        <w:t xml:space="preserve"> ΟΜΙΛΟΣ ΕΠΙΧΕΙΡΗΣΕΩΝ</w:t>
      </w:r>
    </w:p>
    <w:p w:rsidR="0034765B" w:rsidRPr="0034765B" w:rsidRDefault="0034765B" w:rsidP="0034765B">
      <w:pPr>
        <w:pStyle w:val="Default"/>
        <w:jc w:val="center"/>
      </w:pPr>
    </w:p>
    <w:p w:rsidR="0034765B" w:rsidRDefault="0034765B" w:rsidP="0034765B">
      <w:pPr>
        <w:pStyle w:val="Default"/>
        <w:jc w:val="center"/>
        <w:rPr>
          <w:sz w:val="21"/>
          <w:szCs w:val="21"/>
        </w:rPr>
      </w:pPr>
      <w:r w:rsidRPr="00E31135">
        <w:rPr>
          <w:b/>
          <w:bCs/>
          <w:sz w:val="21"/>
          <w:szCs w:val="21"/>
        </w:rPr>
        <w:t xml:space="preserve">Δελτίο Τύπου </w:t>
      </w:r>
      <w:r w:rsidR="00E31135" w:rsidRPr="005367B9">
        <w:rPr>
          <w:b/>
          <w:bCs/>
          <w:sz w:val="21"/>
          <w:szCs w:val="21"/>
        </w:rPr>
        <w:t>11</w:t>
      </w:r>
      <w:r w:rsidRPr="00E31135">
        <w:rPr>
          <w:b/>
          <w:bCs/>
          <w:sz w:val="21"/>
          <w:szCs w:val="21"/>
        </w:rPr>
        <w:t>/12/2020</w:t>
      </w:r>
    </w:p>
    <w:p w:rsidR="0034765B" w:rsidRDefault="0034765B" w:rsidP="0034765B">
      <w:pPr>
        <w:pStyle w:val="Default"/>
        <w:jc w:val="center"/>
        <w:rPr>
          <w:b/>
          <w:bCs/>
          <w:sz w:val="21"/>
          <w:szCs w:val="21"/>
        </w:rPr>
      </w:pPr>
      <w:r>
        <w:rPr>
          <w:b/>
          <w:bCs/>
          <w:sz w:val="21"/>
          <w:szCs w:val="21"/>
        </w:rPr>
        <w:t>Επιδόσεις και Αποτελέσματα εννεάμηνου 2020</w:t>
      </w:r>
    </w:p>
    <w:p w:rsidR="0034765B" w:rsidRDefault="0034765B" w:rsidP="0034765B">
      <w:pPr>
        <w:pStyle w:val="Default"/>
        <w:jc w:val="center"/>
      </w:pPr>
    </w:p>
    <w:p w:rsidR="0034765B" w:rsidRPr="005367B9" w:rsidRDefault="0034765B" w:rsidP="0034765B">
      <w:pPr>
        <w:pStyle w:val="Default"/>
        <w:jc w:val="both"/>
        <w:rPr>
          <w:sz w:val="20"/>
          <w:szCs w:val="20"/>
        </w:rPr>
      </w:pPr>
      <w:r>
        <w:rPr>
          <w:sz w:val="20"/>
          <w:szCs w:val="20"/>
        </w:rPr>
        <w:t xml:space="preserve">Σε συνέχεια της με αριθμό πρωτοκόλλου 2503/18.11.2020 επιστολής της Επιτροπής Κεφαλαιαγοράς που εστάλη προς τις εισηγμένες εταιρίες στην οργανωμένη αγορά του Χρηματιστηρίου Αθηνών και στα πλαίσια της ενημέρωσης του επενδυτικού κοινού σε συνδυασμό με την εν εξελίξει πανδημία του Covid-19, η Ανώνυμη Εταιρεία με την επωνυμία </w:t>
      </w:r>
      <w:r>
        <w:rPr>
          <w:b/>
          <w:bCs/>
          <w:sz w:val="20"/>
          <w:szCs w:val="20"/>
        </w:rPr>
        <w:t>«</w:t>
      </w:r>
      <w:r w:rsidRPr="0034765B">
        <w:rPr>
          <w:b/>
          <w:bCs/>
          <w:sz w:val="20"/>
          <w:szCs w:val="20"/>
        </w:rPr>
        <w:t>ΕΛ. Δ. ΜΟΥΖΑΚΗΣ ΑΝΩΝΥΜΗ ΕΤΑΙΡΕΙΑ ΒΙΟΜΗΧΑΝΙΑΣ ΕΜΠΟΡΙΟΥ ΜΕΛΕΤΩΝ ΚΑΙ ΕΠΕΝΔΥΣΕΩΝ</w:t>
      </w:r>
      <w:r>
        <w:rPr>
          <w:b/>
          <w:bCs/>
          <w:sz w:val="20"/>
          <w:szCs w:val="20"/>
        </w:rPr>
        <w:t xml:space="preserve">» </w:t>
      </w:r>
      <w:r w:rsidR="005367B9" w:rsidRPr="005367B9">
        <w:rPr>
          <w:bCs/>
          <w:sz w:val="20"/>
          <w:szCs w:val="20"/>
        </w:rPr>
        <w:t>παρουσιάζει</w:t>
      </w:r>
      <w:r w:rsidR="005367B9">
        <w:rPr>
          <w:b/>
          <w:bCs/>
          <w:sz w:val="20"/>
          <w:szCs w:val="20"/>
        </w:rPr>
        <w:t xml:space="preserve"> </w:t>
      </w:r>
      <w:r>
        <w:rPr>
          <w:sz w:val="20"/>
          <w:szCs w:val="20"/>
        </w:rPr>
        <w:t xml:space="preserve">τα ακόλουθα αναφορικά με τη διαμόρφωση των θεμελιωδών οικονομικών μεγεθών αυτής κατά το </w:t>
      </w:r>
      <w:proofErr w:type="spellStart"/>
      <w:r>
        <w:rPr>
          <w:sz w:val="20"/>
          <w:szCs w:val="20"/>
        </w:rPr>
        <w:t>γ΄</w:t>
      </w:r>
      <w:proofErr w:type="spellEnd"/>
      <w:r>
        <w:rPr>
          <w:sz w:val="20"/>
          <w:szCs w:val="20"/>
        </w:rPr>
        <w:t xml:space="preserve"> τρίμηνο της τρέχουσας χρήσεως 2020 και τις εν γένει εξελίξεις στην δραστηριότητά της. </w:t>
      </w:r>
    </w:p>
    <w:p w:rsidR="00E31135" w:rsidRPr="005367B9" w:rsidRDefault="00E31135" w:rsidP="0034765B">
      <w:pPr>
        <w:pStyle w:val="Default"/>
        <w:jc w:val="both"/>
        <w:rPr>
          <w:sz w:val="20"/>
          <w:szCs w:val="20"/>
        </w:rPr>
      </w:pPr>
    </w:p>
    <w:p w:rsidR="0034765B" w:rsidRPr="00E31135" w:rsidRDefault="0034765B" w:rsidP="0034765B">
      <w:pPr>
        <w:pStyle w:val="Default"/>
        <w:jc w:val="both"/>
        <w:rPr>
          <w:sz w:val="20"/>
          <w:szCs w:val="20"/>
        </w:rPr>
      </w:pPr>
      <w:r>
        <w:rPr>
          <w:sz w:val="20"/>
          <w:szCs w:val="20"/>
        </w:rPr>
        <w:t xml:space="preserve">Ειδικότερα τα αποτελέσματα του Ομίλου και της Εταιρείας για το εννεάμηνο του 2020, συγκρινόμενα παράλληλα και με την αντίστοιχη περίοδο της προηγούμενης χρήσης </w:t>
      </w:r>
      <w:r w:rsidR="005367B9">
        <w:rPr>
          <w:sz w:val="20"/>
          <w:szCs w:val="20"/>
        </w:rPr>
        <w:t xml:space="preserve">2019 </w:t>
      </w:r>
      <w:r>
        <w:rPr>
          <w:sz w:val="20"/>
          <w:szCs w:val="20"/>
        </w:rPr>
        <w:t xml:space="preserve">έχουν συνοπτικά ως ακολούθως : </w:t>
      </w:r>
    </w:p>
    <w:p w:rsidR="0070744F" w:rsidRPr="00E31135" w:rsidRDefault="0070744F" w:rsidP="0034765B">
      <w:pPr>
        <w:pStyle w:val="Default"/>
        <w:jc w:val="both"/>
        <w:rPr>
          <w:sz w:val="20"/>
          <w:szCs w:val="20"/>
        </w:rPr>
      </w:pPr>
    </w:p>
    <w:p w:rsidR="0034765B" w:rsidRPr="005367B9" w:rsidRDefault="0034765B" w:rsidP="0034765B">
      <w:pPr>
        <w:pStyle w:val="Default"/>
        <w:jc w:val="both"/>
        <w:rPr>
          <w:sz w:val="20"/>
          <w:szCs w:val="20"/>
        </w:rPr>
      </w:pPr>
      <w:r>
        <w:rPr>
          <w:sz w:val="20"/>
          <w:szCs w:val="20"/>
        </w:rPr>
        <w:t xml:space="preserve">α) Ο ενοποιημένος κύκλος εργασιών ανήλθε σε </w:t>
      </w:r>
      <w:r w:rsidR="00671F2E" w:rsidRPr="00671F2E">
        <w:rPr>
          <w:sz w:val="20"/>
          <w:szCs w:val="20"/>
        </w:rPr>
        <w:t>2.961.681,91</w:t>
      </w:r>
      <w:r>
        <w:rPr>
          <w:sz w:val="20"/>
          <w:szCs w:val="20"/>
        </w:rPr>
        <w:t xml:space="preserve"> ευρώ, έναντι </w:t>
      </w:r>
      <w:r w:rsidR="00671F2E" w:rsidRPr="00671F2E">
        <w:rPr>
          <w:sz w:val="20"/>
          <w:szCs w:val="20"/>
        </w:rPr>
        <w:t>3.543.729,10</w:t>
      </w:r>
      <w:r>
        <w:rPr>
          <w:sz w:val="20"/>
          <w:szCs w:val="20"/>
        </w:rPr>
        <w:t xml:space="preserve"> ευρώ παρουσιάζοντας ποσοστιαία </w:t>
      </w:r>
      <w:r w:rsidR="00671F2E">
        <w:rPr>
          <w:sz w:val="20"/>
          <w:szCs w:val="20"/>
        </w:rPr>
        <w:t>μείωση</w:t>
      </w:r>
      <w:r>
        <w:rPr>
          <w:sz w:val="20"/>
          <w:szCs w:val="20"/>
        </w:rPr>
        <w:t xml:space="preserve"> κατά </w:t>
      </w:r>
      <w:r w:rsidR="00671F2E">
        <w:rPr>
          <w:sz w:val="20"/>
          <w:szCs w:val="20"/>
        </w:rPr>
        <w:t>-16,42</w:t>
      </w:r>
      <w:r>
        <w:rPr>
          <w:sz w:val="20"/>
          <w:szCs w:val="20"/>
        </w:rPr>
        <w:t xml:space="preserve">% και ο εταιρικός σε </w:t>
      </w:r>
      <w:r w:rsidR="00671F2E" w:rsidRPr="00671F2E">
        <w:rPr>
          <w:sz w:val="20"/>
          <w:szCs w:val="20"/>
        </w:rPr>
        <w:t>2.961.681,91</w:t>
      </w:r>
      <w:r w:rsidR="00671F2E">
        <w:rPr>
          <w:sz w:val="20"/>
          <w:szCs w:val="20"/>
        </w:rPr>
        <w:t xml:space="preserve"> ευρώ, έναντι </w:t>
      </w:r>
      <w:r w:rsidR="00671F2E" w:rsidRPr="00671F2E">
        <w:rPr>
          <w:sz w:val="20"/>
          <w:szCs w:val="20"/>
        </w:rPr>
        <w:t>3.543.729,10</w:t>
      </w:r>
      <w:r w:rsidR="00671F2E">
        <w:rPr>
          <w:sz w:val="20"/>
          <w:szCs w:val="20"/>
        </w:rPr>
        <w:t xml:space="preserve"> ευρώ παρουσιάζοντας ποσοστιαία μείωση κατά -16,42%</w:t>
      </w:r>
      <w:r>
        <w:rPr>
          <w:sz w:val="20"/>
          <w:szCs w:val="20"/>
        </w:rPr>
        <w:t xml:space="preserve"> </w:t>
      </w:r>
    </w:p>
    <w:p w:rsidR="0070744F" w:rsidRPr="005367B9" w:rsidRDefault="0070744F" w:rsidP="0034765B">
      <w:pPr>
        <w:pStyle w:val="Default"/>
        <w:jc w:val="both"/>
        <w:rPr>
          <w:sz w:val="20"/>
          <w:szCs w:val="20"/>
        </w:rPr>
      </w:pPr>
    </w:p>
    <w:p w:rsidR="0034765B" w:rsidRPr="005367B9" w:rsidRDefault="0034765B" w:rsidP="0034765B">
      <w:pPr>
        <w:pStyle w:val="Default"/>
        <w:jc w:val="both"/>
        <w:rPr>
          <w:sz w:val="20"/>
          <w:szCs w:val="20"/>
        </w:rPr>
      </w:pPr>
      <w:r>
        <w:rPr>
          <w:sz w:val="20"/>
          <w:szCs w:val="20"/>
        </w:rPr>
        <w:t xml:space="preserve">β) Τα κέρδη προ φόρων, χρηματοδοτικών και επενδυτικών αποτελεσμάτων (EBIT) ανήλθαν σε επίπεδο Ομίλου σε </w:t>
      </w:r>
      <w:r w:rsidR="00671F2E">
        <w:rPr>
          <w:sz w:val="20"/>
          <w:szCs w:val="20"/>
        </w:rPr>
        <w:t>902.115,14</w:t>
      </w:r>
      <w:r>
        <w:rPr>
          <w:sz w:val="20"/>
          <w:szCs w:val="20"/>
        </w:rPr>
        <w:t xml:space="preserve"> ευρώ, έναντι </w:t>
      </w:r>
      <w:r w:rsidR="00671F2E">
        <w:rPr>
          <w:sz w:val="20"/>
          <w:szCs w:val="20"/>
        </w:rPr>
        <w:t>311.125,12</w:t>
      </w:r>
      <w:r>
        <w:rPr>
          <w:sz w:val="20"/>
          <w:szCs w:val="20"/>
        </w:rPr>
        <w:t xml:space="preserve"> ευρώ, αυξημένα κατά </w:t>
      </w:r>
      <w:r w:rsidR="00671F2E">
        <w:rPr>
          <w:sz w:val="20"/>
          <w:szCs w:val="20"/>
        </w:rPr>
        <w:t>590.990,02 ευρώ ήτοι 189</w:t>
      </w:r>
      <w:r>
        <w:rPr>
          <w:sz w:val="20"/>
          <w:szCs w:val="20"/>
        </w:rPr>
        <w:t>,</w:t>
      </w:r>
      <w:r w:rsidR="00671F2E">
        <w:rPr>
          <w:sz w:val="20"/>
          <w:szCs w:val="20"/>
        </w:rPr>
        <w:t>95</w:t>
      </w:r>
      <w:r>
        <w:rPr>
          <w:sz w:val="20"/>
          <w:szCs w:val="20"/>
        </w:rPr>
        <w:t xml:space="preserve">% και σε εταιρικό επίπεδο σε </w:t>
      </w:r>
      <w:r w:rsidR="00671F2E">
        <w:rPr>
          <w:sz w:val="20"/>
          <w:szCs w:val="20"/>
        </w:rPr>
        <w:t>740.900,00  ευρώ, έναντι 163.202,71 ευρώ, αυξημένα κατά 577.697,29 ευρώ ήτοι 353,98%</w:t>
      </w:r>
      <w:r>
        <w:rPr>
          <w:sz w:val="20"/>
          <w:szCs w:val="20"/>
        </w:rPr>
        <w:t xml:space="preserve"> </w:t>
      </w:r>
      <w:r w:rsidR="00671F2E">
        <w:rPr>
          <w:sz w:val="20"/>
          <w:szCs w:val="20"/>
        </w:rPr>
        <w:t>.</w:t>
      </w:r>
    </w:p>
    <w:p w:rsidR="0070744F" w:rsidRPr="005367B9" w:rsidRDefault="0070744F" w:rsidP="0034765B">
      <w:pPr>
        <w:pStyle w:val="Default"/>
        <w:jc w:val="both"/>
        <w:rPr>
          <w:sz w:val="20"/>
          <w:szCs w:val="20"/>
        </w:rPr>
      </w:pPr>
    </w:p>
    <w:p w:rsidR="0034765B" w:rsidRPr="005367B9" w:rsidRDefault="0034765B" w:rsidP="0034765B">
      <w:pPr>
        <w:pStyle w:val="Default"/>
        <w:jc w:val="both"/>
        <w:rPr>
          <w:sz w:val="20"/>
          <w:szCs w:val="20"/>
        </w:rPr>
      </w:pPr>
      <w:r>
        <w:rPr>
          <w:sz w:val="20"/>
          <w:szCs w:val="20"/>
        </w:rPr>
        <w:t xml:space="preserve">γ) Τα κέρδη προ φόρων, χρηματοδοτικών, επενδυτικών αποτελεσμάτων και αποσβέσεων (EBITDA) ανήλθαν σε επίπεδο Ομίλου σε </w:t>
      </w:r>
      <w:r w:rsidR="00671F2E">
        <w:rPr>
          <w:sz w:val="20"/>
          <w:szCs w:val="20"/>
        </w:rPr>
        <w:t>1.062.138,89 ευρώ, έναντι 473.442,56 ευρώ, αυξημένα κατά 588.696,33 ευρώ ήτοι 124,34%</w:t>
      </w:r>
      <w:r>
        <w:rPr>
          <w:sz w:val="20"/>
          <w:szCs w:val="20"/>
        </w:rPr>
        <w:t xml:space="preserve"> και σε εταιρικό επίπεδο σε </w:t>
      </w:r>
      <w:r w:rsidR="00671F2E">
        <w:rPr>
          <w:sz w:val="20"/>
          <w:szCs w:val="20"/>
        </w:rPr>
        <w:t xml:space="preserve">900.596,81 ευρώ, έναντι </w:t>
      </w:r>
      <w:r w:rsidR="001A7FDC">
        <w:rPr>
          <w:sz w:val="20"/>
          <w:szCs w:val="20"/>
        </w:rPr>
        <w:t>325.388,85</w:t>
      </w:r>
      <w:r w:rsidR="00671F2E">
        <w:rPr>
          <w:sz w:val="20"/>
          <w:szCs w:val="20"/>
        </w:rPr>
        <w:t xml:space="preserve"> ευρώ, αυξημένα κατά </w:t>
      </w:r>
      <w:r w:rsidR="001A7FDC">
        <w:rPr>
          <w:sz w:val="20"/>
          <w:szCs w:val="20"/>
        </w:rPr>
        <w:t>575.207,96</w:t>
      </w:r>
      <w:r w:rsidR="00671F2E">
        <w:rPr>
          <w:sz w:val="20"/>
          <w:szCs w:val="20"/>
        </w:rPr>
        <w:t xml:space="preserve"> ευρώ ήτοι </w:t>
      </w:r>
      <w:r w:rsidR="001A7FDC">
        <w:rPr>
          <w:sz w:val="20"/>
          <w:szCs w:val="20"/>
        </w:rPr>
        <w:t>176,78</w:t>
      </w:r>
      <w:r w:rsidR="00671F2E">
        <w:rPr>
          <w:sz w:val="20"/>
          <w:szCs w:val="20"/>
        </w:rPr>
        <w:t>%</w:t>
      </w:r>
      <w:r>
        <w:rPr>
          <w:sz w:val="20"/>
          <w:szCs w:val="20"/>
        </w:rPr>
        <w:t xml:space="preserve">. </w:t>
      </w:r>
    </w:p>
    <w:p w:rsidR="0070744F" w:rsidRPr="005367B9" w:rsidRDefault="0070744F" w:rsidP="0034765B">
      <w:pPr>
        <w:pStyle w:val="Default"/>
        <w:jc w:val="both"/>
        <w:rPr>
          <w:sz w:val="20"/>
          <w:szCs w:val="20"/>
        </w:rPr>
      </w:pPr>
    </w:p>
    <w:p w:rsidR="0034765B" w:rsidRPr="0070744F" w:rsidRDefault="0034765B" w:rsidP="0034765B">
      <w:pPr>
        <w:pStyle w:val="Default"/>
        <w:jc w:val="both"/>
        <w:rPr>
          <w:sz w:val="20"/>
          <w:szCs w:val="20"/>
        </w:rPr>
      </w:pPr>
      <w:r>
        <w:rPr>
          <w:sz w:val="20"/>
          <w:szCs w:val="20"/>
        </w:rPr>
        <w:t xml:space="preserve">δ) Τα κέρδη προ φόρων (EBT) ανήλθαν για τον Όμιλο σε </w:t>
      </w:r>
      <w:r w:rsidR="00C542FF">
        <w:rPr>
          <w:sz w:val="20"/>
          <w:szCs w:val="20"/>
        </w:rPr>
        <w:t>872.964,55</w:t>
      </w:r>
      <w:r w:rsidR="001A7FDC">
        <w:rPr>
          <w:sz w:val="20"/>
          <w:szCs w:val="20"/>
        </w:rPr>
        <w:t xml:space="preserve"> ευρώ, έναντι </w:t>
      </w:r>
      <w:r w:rsidR="00C542FF">
        <w:rPr>
          <w:sz w:val="20"/>
          <w:szCs w:val="20"/>
        </w:rPr>
        <w:t>270.217,37</w:t>
      </w:r>
      <w:r w:rsidR="001A7FDC">
        <w:rPr>
          <w:sz w:val="20"/>
          <w:szCs w:val="20"/>
        </w:rPr>
        <w:t xml:space="preserve"> ευρώ, αυξημένα κατά </w:t>
      </w:r>
      <w:r w:rsidR="00C542FF">
        <w:rPr>
          <w:sz w:val="20"/>
          <w:szCs w:val="20"/>
        </w:rPr>
        <w:t>602.747,18</w:t>
      </w:r>
      <w:r w:rsidR="001A7FDC">
        <w:rPr>
          <w:sz w:val="20"/>
          <w:szCs w:val="20"/>
        </w:rPr>
        <w:t xml:space="preserve"> ευρώ ήτοι </w:t>
      </w:r>
      <w:r w:rsidR="00C542FF">
        <w:rPr>
          <w:sz w:val="20"/>
          <w:szCs w:val="20"/>
        </w:rPr>
        <w:t>223,06</w:t>
      </w:r>
      <w:r w:rsidR="001A7FDC">
        <w:rPr>
          <w:sz w:val="20"/>
          <w:szCs w:val="20"/>
        </w:rPr>
        <w:t>%</w:t>
      </w:r>
      <w:r>
        <w:rPr>
          <w:sz w:val="20"/>
          <w:szCs w:val="20"/>
        </w:rPr>
        <w:t xml:space="preserve"> και για την Εταιρεία σε </w:t>
      </w:r>
      <w:r w:rsidR="00C542FF">
        <w:rPr>
          <w:sz w:val="20"/>
          <w:szCs w:val="20"/>
        </w:rPr>
        <w:t>711.783,56</w:t>
      </w:r>
      <w:r w:rsidR="001A7FDC">
        <w:rPr>
          <w:sz w:val="20"/>
          <w:szCs w:val="20"/>
        </w:rPr>
        <w:t xml:space="preserve"> ευρώ, έναντι </w:t>
      </w:r>
      <w:r w:rsidR="00C542FF">
        <w:rPr>
          <w:sz w:val="20"/>
          <w:szCs w:val="20"/>
        </w:rPr>
        <w:t xml:space="preserve">122.361,35 </w:t>
      </w:r>
      <w:r w:rsidR="001A7FDC">
        <w:rPr>
          <w:sz w:val="20"/>
          <w:szCs w:val="20"/>
        </w:rPr>
        <w:t xml:space="preserve">ευρώ, αυξημένα κατά </w:t>
      </w:r>
      <w:r w:rsidR="00C542FF">
        <w:rPr>
          <w:sz w:val="20"/>
          <w:szCs w:val="20"/>
        </w:rPr>
        <w:t>589.422,21</w:t>
      </w:r>
      <w:r w:rsidR="001A7FDC">
        <w:rPr>
          <w:sz w:val="20"/>
          <w:szCs w:val="20"/>
        </w:rPr>
        <w:t xml:space="preserve"> ευρώ ήτοι </w:t>
      </w:r>
      <w:r w:rsidR="00C542FF">
        <w:rPr>
          <w:sz w:val="20"/>
          <w:szCs w:val="20"/>
        </w:rPr>
        <w:t>481,71</w:t>
      </w:r>
      <w:r w:rsidR="001A7FDC">
        <w:rPr>
          <w:sz w:val="20"/>
          <w:szCs w:val="20"/>
        </w:rPr>
        <w:t>%</w:t>
      </w:r>
      <w:r w:rsidR="00C542FF">
        <w:rPr>
          <w:sz w:val="20"/>
          <w:szCs w:val="20"/>
        </w:rPr>
        <w:t>.</w:t>
      </w:r>
    </w:p>
    <w:p w:rsidR="00F276E2" w:rsidRPr="0070744F" w:rsidRDefault="00F276E2" w:rsidP="0034765B">
      <w:pPr>
        <w:pStyle w:val="Default"/>
        <w:jc w:val="both"/>
        <w:rPr>
          <w:sz w:val="20"/>
          <w:szCs w:val="20"/>
        </w:rPr>
      </w:pPr>
    </w:p>
    <w:p w:rsidR="004C4A4C" w:rsidRPr="0034765B" w:rsidRDefault="0034765B" w:rsidP="0034765B">
      <w:pPr>
        <w:jc w:val="both"/>
        <w:rPr>
          <w:rFonts w:ascii="Tahoma" w:hAnsi="Tahoma" w:cs="Tahoma"/>
          <w:sz w:val="20"/>
          <w:szCs w:val="20"/>
        </w:rPr>
      </w:pPr>
      <w:r w:rsidRPr="0034765B">
        <w:rPr>
          <w:rFonts w:ascii="Tahoma" w:hAnsi="Tahoma" w:cs="Tahoma"/>
          <w:sz w:val="20"/>
          <w:szCs w:val="20"/>
        </w:rPr>
        <w:t>Όλα τα ανωτέρω, καθώς και  τα λοιπά μεγέθη της χρηματοοικονομικής θέσης που έλαβαν χώρα κατά το γ’ τρίμηνο της χρήσης 2020 απεικονίζονται στους ακόλουθους πίνακες :</w:t>
      </w:r>
    </w:p>
    <w:p w:rsidR="00F276E2" w:rsidRPr="005367B9" w:rsidRDefault="00F276E2"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tbl>
      <w:tblPr>
        <w:tblW w:w="8062" w:type="dxa"/>
        <w:tblInd w:w="108" w:type="dxa"/>
        <w:tblLook w:val="04A0"/>
      </w:tblPr>
      <w:tblGrid>
        <w:gridCol w:w="2977"/>
        <w:gridCol w:w="1283"/>
        <w:gridCol w:w="1283"/>
        <w:gridCol w:w="1283"/>
        <w:gridCol w:w="1236"/>
      </w:tblGrid>
      <w:tr w:rsidR="0070744F" w:rsidRPr="00E31135" w:rsidTr="00E31135">
        <w:trPr>
          <w:trHeight w:val="480"/>
        </w:trPr>
        <w:tc>
          <w:tcPr>
            <w:tcW w:w="2977" w:type="dxa"/>
            <w:tcBorders>
              <w:top w:val="nil"/>
              <w:left w:val="nil"/>
              <w:bottom w:val="nil"/>
              <w:right w:val="nil"/>
            </w:tcBorders>
            <w:shd w:val="clear" w:color="000000" w:fill="FFFFFF"/>
            <w:noWrap/>
            <w:vAlign w:val="bottom"/>
            <w:hideMark/>
          </w:tcPr>
          <w:p w:rsidR="0070744F" w:rsidRPr="00E31135" w:rsidRDefault="0070744F" w:rsidP="00E31135">
            <w:pPr>
              <w:spacing w:after="0" w:line="240" w:lineRule="auto"/>
              <w:rPr>
                <w:rFonts w:ascii="Tahoma" w:eastAsia="Times New Roman" w:hAnsi="Tahoma" w:cs="Tahoma"/>
                <w:b/>
                <w:bCs/>
                <w:sz w:val="18"/>
                <w:szCs w:val="18"/>
                <w:lang w:eastAsia="el-GR"/>
              </w:rPr>
            </w:pPr>
            <w:r w:rsidRPr="00E31135">
              <w:rPr>
                <w:rFonts w:ascii="Tahoma" w:eastAsia="Times New Roman" w:hAnsi="Tahoma" w:cs="Tahoma"/>
                <w:b/>
                <w:bCs/>
                <w:sz w:val="18"/>
                <w:szCs w:val="18"/>
                <w:lang w:eastAsia="el-GR"/>
              </w:rPr>
              <w:lastRenderedPageBreak/>
              <w:t xml:space="preserve">ΚΑΤΑΣΤΑΣΗ </w:t>
            </w:r>
            <w:r w:rsidR="00E31135">
              <w:rPr>
                <w:rFonts w:ascii="Tahoma" w:eastAsia="Times New Roman" w:hAnsi="Tahoma" w:cs="Tahoma"/>
                <w:b/>
                <w:bCs/>
                <w:sz w:val="18"/>
                <w:szCs w:val="18"/>
                <w:lang w:val="en-US" w:eastAsia="el-GR"/>
              </w:rPr>
              <w:t xml:space="preserve"> </w:t>
            </w:r>
            <w:r w:rsidR="00E31135">
              <w:rPr>
                <w:rFonts w:ascii="Tahoma" w:eastAsia="Times New Roman" w:hAnsi="Tahoma" w:cs="Tahoma"/>
                <w:b/>
                <w:bCs/>
                <w:sz w:val="18"/>
                <w:szCs w:val="18"/>
                <w:lang w:eastAsia="el-GR"/>
              </w:rPr>
              <w:t>ΑΠΟΤΕΛΕΣΜΑΤΩΝ</w:t>
            </w:r>
          </w:p>
        </w:tc>
        <w:tc>
          <w:tcPr>
            <w:tcW w:w="1283" w:type="dxa"/>
            <w:tcBorders>
              <w:top w:val="nil"/>
              <w:left w:val="nil"/>
              <w:bottom w:val="nil"/>
              <w:right w:val="nil"/>
            </w:tcBorders>
            <w:shd w:val="clear" w:color="auto" w:fill="auto"/>
            <w:noWrap/>
            <w:vAlign w:val="bottom"/>
            <w:hideMark/>
          </w:tcPr>
          <w:p w:rsidR="0070744F" w:rsidRPr="00E31135" w:rsidRDefault="0070744F" w:rsidP="0070744F">
            <w:pPr>
              <w:spacing w:after="0" w:line="240" w:lineRule="auto"/>
              <w:rPr>
                <w:rFonts w:ascii="Arial Greek" w:eastAsia="Times New Roman" w:hAnsi="Arial Greek" w:cs="Arial Greek"/>
                <w:sz w:val="18"/>
                <w:szCs w:val="18"/>
                <w:lang w:eastAsia="el-GR"/>
              </w:rPr>
            </w:pPr>
          </w:p>
        </w:tc>
        <w:tc>
          <w:tcPr>
            <w:tcW w:w="1283" w:type="dxa"/>
            <w:tcBorders>
              <w:top w:val="nil"/>
              <w:left w:val="nil"/>
              <w:bottom w:val="nil"/>
              <w:right w:val="nil"/>
            </w:tcBorders>
            <w:shd w:val="clear" w:color="auto" w:fill="auto"/>
            <w:noWrap/>
            <w:vAlign w:val="bottom"/>
            <w:hideMark/>
          </w:tcPr>
          <w:p w:rsidR="0070744F" w:rsidRPr="00E31135" w:rsidRDefault="0070744F" w:rsidP="0070744F">
            <w:pPr>
              <w:spacing w:after="0" w:line="240" w:lineRule="auto"/>
              <w:rPr>
                <w:rFonts w:ascii="Arial Greek" w:eastAsia="Times New Roman" w:hAnsi="Arial Greek" w:cs="Arial Greek"/>
                <w:sz w:val="18"/>
                <w:szCs w:val="18"/>
                <w:lang w:eastAsia="el-GR"/>
              </w:rPr>
            </w:pPr>
          </w:p>
        </w:tc>
        <w:tc>
          <w:tcPr>
            <w:tcW w:w="1283" w:type="dxa"/>
            <w:tcBorders>
              <w:top w:val="nil"/>
              <w:left w:val="nil"/>
              <w:bottom w:val="nil"/>
              <w:right w:val="nil"/>
            </w:tcBorders>
            <w:shd w:val="clear" w:color="auto" w:fill="auto"/>
            <w:noWrap/>
            <w:vAlign w:val="bottom"/>
            <w:hideMark/>
          </w:tcPr>
          <w:p w:rsidR="0070744F" w:rsidRPr="00E31135" w:rsidRDefault="0070744F" w:rsidP="0070744F">
            <w:pPr>
              <w:spacing w:after="0" w:line="240" w:lineRule="auto"/>
              <w:rPr>
                <w:rFonts w:ascii="Arial Greek" w:eastAsia="Times New Roman" w:hAnsi="Arial Greek" w:cs="Arial Greek"/>
                <w:sz w:val="18"/>
                <w:szCs w:val="18"/>
                <w:lang w:eastAsia="el-GR"/>
              </w:rPr>
            </w:pPr>
          </w:p>
        </w:tc>
        <w:tc>
          <w:tcPr>
            <w:tcW w:w="1236" w:type="dxa"/>
            <w:tcBorders>
              <w:top w:val="nil"/>
              <w:left w:val="nil"/>
              <w:bottom w:val="nil"/>
              <w:right w:val="nil"/>
            </w:tcBorders>
            <w:shd w:val="clear" w:color="auto" w:fill="auto"/>
            <w:noWrap/>
            <w:vAlign w:val="bottom"/>
            <w:hideMark/>
          </w:tcPr>
          <w:p w:rsidR="0070744F" w:rsidRPr="00E31135" w:rsidRDefault="0070744F" w:rsidP="0070744F">
            <w:pPr>
              <w:spacing w:after="0" w:line="240" w:lineRule="auto"/>
              <w:rPr>
                <w:rFonts w:ascii="Arial Greek" w:eastAsia="Times New Roman" w:hAnsi="Arial Greek" w:cs="Arial Greek"/>
                <w:sz w:val="18"/>
                <w:szCs w:val="18"/>
                <w:lang w:eastAsia="el-GR"/>
              </w:rPr>
            </w:pPr>
          </w:p>
        </w:tc>
      </w:tr>
      <w:tr w:rsidR="0070744F" w:rsidRPr="0070744F" w:rsidTr="00E31135">
        <w:trPr>
          <w:trHeight w:val="360"/>
        </w:trPr>
        <w:tc>
          <w:tcPr>
            <w:tcW w:w="2977" w:type="dxa"/>
            <w:tcBorders>
              <w:top w:val="nil"/>
              <w:left w:val="nil"/>
              <w:bottom w:val="nil"/>
              <w:right w:val="nil"/>
            </w:tcBorders>
            <w:shd w:val="clear" w:color="000000" w:fill="FFFFFF"/>
            <w:vAlign w:val="bottom"/>
            <w:hideMark/>
          </w:tcPr>
          <w:p w:rsidR="0070744F" w:rsidRPr="0070744F" w:rsidRDefault="0070744F" w:rsidP="0070744F">
            <w:pPr>
              <w:spacing w:after="0" w:line="240" w:lineRule="auto"/>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 </w:t>
            </w:r>
          </w:p>
        </w:tc>
        <w:tc>
          <w:tcPr>
            <w:tcW w:w="5085" w:type="dxa"/>
            <w:gridSpan w:val="4"/>
            <w:tcBorders>
              <w:top w:val="nil"/>
              <w:left w:val="nil"/>
              <w:bottom w:val="nil"/>
              <w:right w:val="nil"/>
            </w:tcBorders>
            <w:shd w:val="clear" w:color="000000" w:fill="FFFFFF"/>
            <w:vAlign w:val="center"/>
            <w:hideMark/>
          </w:tcPr>
          <w:p w:rsidR="0070744F" w:rsidRPr="00E31135" w:rsidRDefault="0070744F" w:rsidP="0070744F">
            <w:pPr>
              <w:spacing w:after="0" w:line="240" w:lineRule="auto"/>
              <w:jc w:val="center"/>
              <w:rPr>
                <w:rFonts w:ascii="Tahoma" w:eastAsia="Times New Roman" w:hAnsi="Tahoma" w:cs="Tahoma"/>
                <w:b/>
                <w:bCs/>
                <w:sz w:val="20"/>
                <w:szCs w:val="20"/>
                <w:u w:val="single"/>
                <w:lang w:eastAsia="el-GR"/>
              </w:rPr>
            </w:pPr>
            <w:r w:rsidRPr="00E31135">
              <w:rPr>
                <w:rFonts w:ascii="Tahoma" w:eastAsia="Times New Roman" w:hAnsi="Tahoma" w:cs="Tahoma"/>
                <w:b/>
                <w:bCs/>
                <w:sz w:val="20"/>
                <w:szCs w:val="20"/>
                <w:u w:val="single"/>
                <w:lang w:eastAsia="el-GR"/>
              </w:rPr>
              <w:t>ΟΜΙΛΟΣ</w:t>
            </w:r>
          </w:p>
        </w:tc>
      </w:tr>
      <w:tr w:rsidR="0070744F" w:rsidRPr="0070744F" w:rsidTr="00E31135">
        <w:trPr>
          <w:trHeight w:val="435"/>
        </w:trPr>
        <w:tc>
          <w:tcPr>
            <w:tcW w:w="2977" w:type="dxa"/>
            <w:tcBorders>
              <w:top w:val="nil"/>
              <w:left w:val="nil"/>
              <w:bottom w:val="nil"/>
              <w:right w:val="nil"/>
            </w:tcBorders>
            <w:shd w:val="clear" w:color="000000" w:fill="FFFFFF"/>
            <w:vAlign w:val="bottom"/>
            <w:hideMark/>
          </w:tcPr>
          <w:p w:rsidR="0070744F" w:rsidRPr="0070744F" w:rsidRDefault="0070744F" w:rsidP="0070744F">
            <w:pPr>
              <w:spacing w:after="0" w:line="240" w:lineRule="auto"/>
              <w:jc w:val="center"/>
              <w:rPr>
                <w:rFonts w:ascii="Tahoma" w:eastAsia="Times New Roman" w:hAnsi="Tahoma" w:cs="Tahoma"/>
                <w:b/>
                <w:bCs/>
                <w:i/>
                <w:iCs/>
                <w:sz w:val="16"/>
                <w:szCs w:val="16"/>
                <w:lang w:eastAsia="el-GR"/>
              </w:rPr>
            </w:pPr>
            <w:r w:rsidRPr="0070744F">
              <w:rPr>
                <w:rFonts w:ascii="Tahoma" w:eastAsia="Times New Roman" w:hAnsi="Tahoma" w:cs="Tahoma"/>
                <w:b/>
                <w:bCs/>
                <w:i/>
                <w:iCs/>
                <w:sz w:val="16"/>
                <w:szCs w:val="16"/>
                <w:lang w:eastAsia="el-GR"/>
              </w:rPr>
              <w:t> </w:t>
            </w:r>
          </w:p>
        </w:tc>
        <w:tc>
          <w:tcPr>
            <w:tcW w:w="1283" w:type="dxa"/>
            <w:tcBorders>
              <w:top w:val="nil"/>
              <w:left w:val="nil"/>
              <w:bottom w:val="single" w:sz="4" w:space="0" w:color="auto"/>
              <w:right w:val="nil"/>
            </w:tcBorders>
            <w:shd w:val="clear" w:color="000000" w:fill="FFFFFF"/>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1.1-30.9.2020</w:t>
            </w:r>
          </w:p>
        </w:tc>
        <w:tc>
          <w:tcPr>
            <w:tcW w:w="1283" w:type="dxa"/>
            <w:tcBorders>
              <w:top w:val="nil"/>
              <w:left w:val="nil"/>
              <w:bottom w:val="single" w:sz="4" w:space="0" w:color="auto"/>
              <w:right w:val="nil"/>
            </w:tcBorders>
            <w:shd w:val="clear" w:color="000000" w:fill="FFFFFF"/>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1.1-30.9.2019</w:t>
            </w:r>
          </w:p>
        </w:tc>
        <w:tc>
          <w:tcPr>
            <w:tcW w:w="1283" w:type="dxa"/>
            <w:tcBorders>
              <w:top w:val="nil"/>
              <w:left w:val="nil"/>
              <w:bottom w:val="single" w:sz="4" w:space="0" w:color="auto"/>
              <w:right w:val="nil"/>
            </w:tcBorders>
            <w:shd w:val="clear" w:color="000000" w:fill="EEECE1"/>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1.7-30.9.2020</w:t>
            </w:r>
          </w:p>
        </w:tc>
        <w:tc>
          <w:tcPr>
            <w:tcW w:w="1236" w:type="dxa"/>
            <w:tcBorders>
              <w:top w:val="nil"/>
              <w:left w:val="nil"/>
              <w:bottom w:val="single" w:sz="4" w:space="0" w:color="auto"/>
              <w:right w:val="nil"/>
            </w:tcBorders>
            <w:shd w:val="clear" w:color="000000" w:fill="EEECE1"/>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1.7-30.9.2019</w:t>
            </w:r>
          </w:p>
        </w:tc>
      </w:tr>
      <w:tr w:rsidR="0070744F" w:rsidRPr="0070744F" w:rsidTr="00E31135">
        <w:trPr>
          <w:trHeight w:val="255"/>
        </w:trPr>
        <w:tc>
          <w:tcPr>
            <w:tcW w:w="2977" w:type="dxa"/>
            <w:tcBorders>
              <w:top w:val="nil"/>
              <w:left w:val="nil"/>
              <w:bottom w:val="nil"/>
              <w:right w:val="nil"/>
            </w:tcBorders>
            <w:shd w:val="clear" w:color="000000" w:fill="FFFFFF"/>
            <w:vAlign w:val="bottom"/>
            <w:hideMark/>
          </w:tcPr>
          <w:p w:rsidR="0070744F" w:rsidRPr="0070744F" w:rsidRDefault="0070744F" w:rsidP="0070744F">
            <w:pPr>
              <w:spacing w:after="0" w:line="240" w:lineRule="auto"/>
              <w:rPr>
                <w:rFonts w:ascii="Tahoma" w:eastAsia="Times New Roman" w:hAnsi="Tahoma" w:cs="Tahoma"/>
                <w:b/>
                <w:bCs/>
                <w:i/>
                <w:iCs/>
                <w:sz w:val="16"/>
                <w:szCs w:val="16"/>
                <w:lang w:eastAsia="el-GR"/>
              </w:rPr>
            </w:pPr>
            <w:r w:rsidRPr="0070744F">
              <w:rPr>
                <w:rFonts w:ascii="Tahoma" w:eastAsia="Times New Roman" w:hAnsi="Tahoma" w:cs="Tahoma"/>
                <w:b/>
                <w:bCs/>
                <w:i/>
                <w:iCs/>
                <w:sz w:val="16"/>
                <w:szCs w:val="16"/>
                <w:lang w:eastAsia="el-GR"/>
              </w:rPr>
              <w:t> </w:t>
            </w:r>
          </w:p>
        </w:tc>
        <w:tc>
          <w:tcPr>
            <w:tcW w:w="1283" w:type="dxa"/>
            <w:tcBorders>
              <w:top w:val="nil"/>
              <w:left w:val="nil"/>
              <w:bottom w:val="nil"/>
              <w:right w:val="nil"/>
            </w:tcBorders>
            <w:shd w:val="clear" w:color="000000" w:fill="FFFFFF"/>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 </w:t>
            </w:r>
          </w:p>
        </w:tc>
        <w:tc>
          <w:tcPr>
            <w:tcW w:w="1283" w:type="dxa"/>
            <w:tcBorders>
              <w:top w:val="nil"/>
              <w:left w:val="nil"/>
              <w:bottom w:val="nil"/>
              <w:right w:val="nil"/>
            </w:tcBorders>
            <w:shd w:val="clear" w:color="000000" w:fill="FFFFFF"/>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 </w:t>
            </w:r>
          </w:p>
        </w:tc>
        <w:tc>
          <w:tcPr>
            <w:tcW w:w="1283" w:type="dxa"/>
            <w:tcBorders>
              <w:top w:val="nil"/>
              <w:left w:val="nil"/>
              <w:bottom w:val="nil"/>
              <w:right w:val="nil"/>
            </w:tcBorders>
            <w:shd w:val="clear" w:color="000000" w:fill="EEECE1"/>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 </w:t>
            </w:r>
          </w:p>
        </w:tc>
        <w:tc>
          <w:tcPr>
            <w:tcW w:w="1236" w:type="dxa"/>
            <w:tcBorders>
              <w:top w:val="nil"/>
              <w:left w:val="nil"/>
              <w:bottom w:val="nil"/>
              <w:right w:val="nil"/>
            </w:tcBorders>
            <w:shd w:val="clear" w:color="000000" w:fill="EEECE1"/>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 </w:t>
            </w:r>
          </w:p>
        </w:tc>
      </w:tr>
      <w:tr w:rsidR="0070744F" w:rsidRPr="0070744F" w:rsidTr="00E31135">
        <w:trPr>
          <w:trHeight w:val="255"/>
        </w:trPr>
        <w:tc>
          <w:tcPr>
            <w:tcW w:w="2977" w:type="dxa"/>
            <w:tcBorders>
              <w:top w:val="nil"/>
              <w:left w:val="nil"/>
              <w:bottom w:val="nil"/>
              <w:right w:val="nil"/>
            </w:tcBorders>
            <w:shd w:val="clear" w:color="000000" w:fill="FFFFFF"/>
            <w:vAlign w:val="bottom"/>
            <w:hideMark/>
          </w:tcPr>
          <w:p w:rsidR="0070744F" w:rsidRPr="00E31135" w:rsidRDefault="0070744F" w:rsidP="0070744F">
            <w:pPr>
              <w:spacing w:after="0" w:line="240" w:lineRule="auto"/>
              <w:rPr>
                <w:rFonts w:ascii="Tahoma" w:eastAsia="Times New Roman" w:hAnsi="Tahoma" w:cs="Tahoma"/>
                <w:b/>
                <w:bCs/>
                <w:sz w:val="16"/>
                <w:szCs w:val="16"/>
                <w:lang w:eastAsia="el-GR"/>
              </w:rPr>
            </w:pPr>
            <w:r w:rsidRPr="00E31135">
              <w:rPr>
                <w:rFonts w:ascii="Tahoma" w:eastAsia="Times New Roman" w:hAnsi="Tahoma" w:cs="Tahoma"/>
                <w:b/>
                <w:bCs/>
                <w:sz w:val="16"/>
                <w:szCs w:val="16"/>
                <w:lang w:eastAsia="el-GR"/>
              </w:rPr>
              <w:t>ΚΥΚΛΟΣ ΕΡΓΑΣΙΩΝ</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2.961.681,91</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3.543.729,10</w:t>
            </w: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1.022.683,59</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961.129,53</w:t>
            </w:r>
          </w:p>
        </w:tc>
      </w:tr>
      <w:tr w:rsidR="0070744F" w:rsidRPr="0070744F" w:rsidTr="00E31135">
        <w:trPr>
          <w:trHeight w:val="255"/>
        </w:trPr>
        <w:tc>
          <w:tcPr>
            <w:tcW w:w="2977" w:type="dxa"/>
            <w:tcBorders>
              <w:top w:val="nil"/>
              <w:left w:val="nil"/>
              <w:bottom w:val="nil"/>
              <w:right w:val="nil"/>
            </w:tcBorders>
            <w:shd w:val="clear" w:color="auto" w:fill="auto"/>
            <w:noWrap/>
            <w:vAlign w:val="bottom"/>
            <w:hideMark/>
          </w:tcPr>
          <w:p w:rsidR="0070744F" w:rsidRPr="00E31135" w:rsidRDefault="0070744F" w:rsidP="0070744F">
            <w:pPr>
              <w:spacing w:after="0" w:line="240" w:lineRule="auto"/>
              <w:rPr>
                <w:rFonts w:ascii="Arial Greek" w:eastAsia="Times New Roman" w:hAnsi="Arial Greek" w:cs="Arial Greek"/>
                <w:sz w:val="16"/>
                <w:szCs w:val="16"/>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r>
      <w:tr w:rsidR="0070744F" w:rsidRPr="0070744F" w:rsidTr="00E31135">
        <w:trPr>
          <w:trHeight w:val="510"/>
        </w:trPr>
        <w:tc>
          <w:tcPr>
            <w:tcW w:w="2977" w:type="dxa"/>
            <w:tcBorders>
              <w:top w:val="nil"/>
              <w:left w:val="nil"/>
              <w:bottom w:val="nil"/>
              <w:right w:val="nil"/>
            </w:tcBorders>
            <w:shd w:val="clear" w:color="000000" w:fill="FFFFFF"/>
            <w:vAlign w:val="bottom"/>
            <w:hideMark/>
          </w:tcPr>
          <w:p w:rsidR="0070744F" w:rsidRPr="00E31135" w:rsidRDefault="0070744F" w:rsidP="0070744F">
            <w:pPr>
              <w:spacing w:after="0" w:line="240" w:lineRule="auto"/>
              <w:rPr>
                <w:rFonts w:ascii="Tahoma" w:eastAsia="Times New Roman" w:hAnsi="Tahoma" w:cs="Tahoma"/>
                <w:b/>
                <w:bCs/>
                <w:sz w:val="16"/>
                <w:szCs w:val="16"/>
                <w:lang w:eastAsia="el-GR"/>
              </w:rPr>
            </w:pPr>
            <w:r w:rsidRPr="00E31135">
              <w:rPr>
                <w:rFonts w:ascii="Tahoma" w:eastAsia="Times New Roman" w:hAnsi="Tahoma" w:cs="Tahoma"/>
                <w:b/>
                <w:bCs/>
                <w:sz w:val="16"/>
                <w:szCs w:val="16"/>
                <w:lang w:eastAsia="el-GR"/>
              </w:rPr>
              <w:t>ΚΕΡΔΗ ΠΡΟ ΦΟΡΩΝ ΚΑΙ ΤΟΚΩΝ (ΕΒΙΤ)</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902.115,14</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311.125,12</w:t>
            </w: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44.146,01</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-621.539,90</w:t>
            </w:r>
          </w:p>
        </w:tc>
      </w:tr>
      <w:tr w:rsidR="0070744F" w:rsidRPr="0070744F" w:rsidTr="00E31135">
        <w:trPr>
          <w:trHeight w:val="135"/>
        </w:trPr>
        <w:tc>
          <w:tcPr>
            <w:tcW w:w="2977" w:type="dxa"/>
            <w:tcBorders>
              <w:top w:val="nil"/>
              <w:left w:val="nil"/>
              <w:bottom w:val="nil"/>
              <w:right w:val="nil"/>
            </w:tcBorders>
            <w:shd w:val="clear" w:color="auto" w:fill="auto"/>
            <w:noWrap/>
            <w:vAlign w:val="bottom"/>
            <w:hideMark/>
          </w:tcPr>
          <w:p w:rsidR="0070744F" w:rsidRPr="00E31135" w:rsidRDefault="0070744F" w:rsidP="0070744F">
            <w:pPr>
              <w:spacing w:after="0" w:line="240" w:lineRule="auto"/>
              <w:rPr>
                <w:rFonts w:ascii="Arial Greek" w:eastAsia="Times New Roman" w:hAnsi="Arial Greek" w:cs="Arial Greek"/>
                <w:sz w:val="16"/>
                <w:szCs w:val="16"/>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r>
      <w:tr w:rsidR="0070744F" w:rsidRPr="0070744F" w:rsidTr="00E31135">
        <w:trPr>
          <w:trHeight w:val="510"/>
        </w:trPr>
        <w:tc>
          <w:tcPr>
            <w:tcW w:w="2977" w:type="dxa"/>
            <w:tcBorders>
              <w:top w:val="nil"/>
              <w:left w:val="nil"/>
              <w:bottom w:val="nil"/>
              <w:right w:val="nil"/>
            </w:tcBorders>
            <w:shd w:val="clear" w:color="000000" w:fill="FFFFFF"/>
            <w:vAlign w:val="bottom"/>
            <w:hideMark/>
          </w:tcPr>
          <w:p w:rsidR="0070744F" w:rsidRPr="00E31135" w:rsidRDefault="0070744F" w:rsidP="0070744F">
            <w:pPr>
              <w:spacing w:after="0" w:line="240" w:lineRule="auto"/>
              <w:rPr>
                <w:rFonts w:ascii="Tahoma" w:eastAsia="Times New Roman" w:hAnsi="Tahoma" w:cs="Tahoma"/>
                <w:b/>
                <w:bCs/>
                <w:sz w:val="16"/>
                <w:szCs w:val="16"/>
                <w:lang w:eastAsia="el-GR"/>
              </w:rPr>
            </w:pPr>
            <w:r w:rsidRPr="00E31135">
              <w:rPr>
                <w:rFonts w:ascii="Tahoma" w:eastAsia="Times New Roman" w:hAnsi="Tahoma" w:cs="Tahoma"/>
                <w:b/>
                <w:bCs/>
                <w:sz w:val="16"/>
                <w:szCs w:val="16"/>
                <w:lang w:eastAsia="el-GR"/>
              </w:rPr>
              <w:t>ΚΕΡΔΗ ΠΡΟ ΦΟΡΩΝ  (ΕΒΤ)</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872.964,55</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270.217,37</w:t>
            </w: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26.306,46</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-633.356,63</w:t>
            </w:r>
          </w:p>
        </w:tc>
      </w:tr>
      <w:tr w:rsidR="0070744F" w:rsidRPr="0070744F" w:rsidTr="00E31135">
        <w:trPr>
          <w:trHeight w:val="255"/>
        </w:trPr>
        <w:tc>
          <w:tcPr>
            <w:tcW w:w="2977" w:type="dxa"/>
            <w:tcBorders>
              <w:top w:val="nil"/>
              <w:left w:val="nil"/>
              <w:bottom w:val="nil"/>
              <w:right w:val="nil"/>
            </w:tcBorders>
            <w:shd w:val="clear" w:color="000000" w:fill="FFFFFF"/>
            <w:vAlign w:val="bottom"/>
            <w:hideMark/>
          </w:tcPr>
          <w:p w:rsidR="0070744F" w:rsidRPr="00E31135" w:rsidRDefault="0070744F" w:rsidP="0070744F">
            <w:pPr>
              <w:spacing w:after="0" w:line="240" w:lineRule="auto"/>
              <w:rPr>
                <w:rFonts w:ascii="Tahoma" w:eastAsia="Times New Roman" w:hAnsi="Tahoma" w:cs="Tahoma"/>
                <w:b/>
                <w:bCs/>
                <w:sz w:val="16"/>
                <w:szCs w:val="16"/>
                <w:lang w:eastAsia="el-GR"/>
              </w:rPr>
            </w:pPr>
            <w:r w:rsidRPr="00E31135">
              <w:rPr>
                <w:rFonts w:ascii="Tahoma" w:eastAsia="Times New Roman" w:hAnsi="Tahoma" w:cs="Tahoma"/>
                <w:b/>
                <w:bCs/>
                <w:sz w:val="16"/>
                <w:szCs w:val="16"/>
                <w:lang w:eastAsia="el-GR"/>
              </w:rPr>
              <w:t> </w:t>
            </w: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r>
      <w:tr w:rsidR="0070744F" w:rsidRPr="0070744F" w:rsidTr="00E31135">
        <w:trPr>
          <w:trHeight w:val="765"/>
        </w:trPr>
        <w:tc>
          <w:tcPr>
            <w:tcW w:w="2977" w:type="dxa"/>
            <w:tcBorders>
              <w:top w:val="nil"/>
              <w:left w:val="nil"/>
              <w:bottom w:val="nil"/>
              <w:right w:val="nil"/>
            </w:tcBorders>
            <w:shd w:val="clear" w:color="000000" w:fill="FFFFFF"/>
            <w:vAlign w:val="bottom"/>
            <w:hideMark/>
          </w:tcPr>
          <w:p w:rsidR="0070744F" w:rsidRPr="00E31135" w:rsidRDefault="0070744F" w:rsidP="0070744F">
            <w:pPr>
              <w:spacing w:after="0" w:line="240" w:lineRule="auto"/>
              <w:rPr>
                <w:rFonts w:ascii="Tahoma" w:eastAsia="Times New Roman" w:hAnsi="Tahoma" w:cs="Tahoma"/>
                <w:b/>
                <w:bCs/>
                <w:sz w:val="16"/>
                <w:szCs w:val="16"/>
                <w:lang w:eastAsia="el-GR"/>
              </w:rPr>
            </w:pPr>
            <w:r w:rsidRPr="00E31135">
              <w:rPr>
                <w:rFonts w:ascii="Tahoma" w:eastAsia="Times New Roman" w:hAnsi="Tahoma" w:cs="Tahoma"/>
                <w:b/>
                <w:bCs/>
                <w:sz w:val="16"/>
                <w:szCs w:val="16"/>
                <w:lang w:eastAsia="el-GR"/>
              </w:rPr>
              <w:t>ΚΕΡΔΗ ΠΡΟ ΦΟΡΩΝ  ΤΟΚΩΝ ΚΑΙ ΣΥΝΟΛΙΚΩΝ  ΑΠΟΣΒΕΣΕΩΝ  (ΕΒΙΤDA)</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1.062.138,89</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473.442,56</w:t>
            </w: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98.214,52</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-567.477,85</w:t>
            </w:r>
          </w:p>
        </w:tc>
      </w:tr>
      <w:tr w:rsidR="0070744F" w:rsidRPr="0070744F" w:rsidTr="00E31135">
        <w:trPr>
          <w:trHeight w:val="255"/>
        </w:trPr>
        <w:tc>
          <w:tcPr>
            <w:tcW w:w="2977" w:type="dxa"/>
            <w:tcBorders>
              <w:top w:val="nil"/>
              <w:left w:val="nil"/>
              <w:bottom w:val="nil"/>
              <w:right w:val="nil"/>
            </w:tcBorders>
            <w:shd w:val="clear" w:color="000000" w:fill="FFFFFF"/>
            <w:vAlign w:val="bottom"/>
            <w:hideMark/>
          </w:tcPr>
          <w:p w:rsidR="0070744F" w:rsidRPr="0070744F" w:rsidRDefault="0070744F" w:rsidP="0070744F">
            <w:pPr>
              <w:spacing w:after="0" w:line="240" w:lineRule="auto"/>
              <w:rPr>
                <w:rFonts w:ascii="Tahoma" w:eastAsia="Times New Roman" w:hAnsi="Tahoma" w:cs="Tahoma"/>
                <w:b/>
                <w:bCs/>
                <w:sz w:val="20"/>
                <w:szCs w:val="20"/>
                <w:lang w:eastAsia="el-GR"/>
              </w:rPr>
            </w:pPr>
            <w:r w:rsidRPr="0070744F">
              <w:rPr>
                <w:rFonts w:ascii="Tahoma" w:eastAsia="Times New Roman" w:hAnsi="Tahoma" w:cs="Tahoma"/>
                <w:b/>
                <w:bCs/>
                <w:sz w:val="20"/>
                <w:szCs w:val="20"/>
                <w:lang w:eastAsia="el-GR"/>
              </w:rPr>
              <w:t> </w:t>
            </w: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36"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r>
      <w:tr w:rsidR="0070744F" w:rsidRPr="0070744F" w:rsidTr="00E31135">
        <w:trPr>
          <w:trHeight w:val="255"/>
        </w:trPr>
        <w:tc>
          <w:tcPr>
            <w:tcW w:w="2977" w:type="dxa"/>
            <w:tcBorders>
              <w:top w:val="nil"/>
              <w:left w:val="nil"/>
              <w:bottom w:val="nil"/>
              <w:right w:val="nil"/>
            </w:tcBorders>
            <w:shd w:val="clear" w:color="000000" w:fill="FFFFFF"/>
            <w:vAlign w:val="bottom"/>
            <w:hideMark/>
          </w:tcPr>
          <w:p w:rsidR="0070744F" w:rsidRPr="0070744F" w:rsidRDefault="0070744F" w:rsidP="0070744F">
            <w:pPr>
              <w:spacing w:after="0" w:line="240" w:lineRule="auto"/>
              <w:rPr>
                <w:rFonts w:ascii="Tahoma" w:eastAsia="Times New Roman" w:hAnsi="Tahoma" w:cs="Tahoma"/>
                <w:b/>
                <w:bCs/>
                <w:sz w:val="20"/>
                <w:szCs w:val="20"/>
                <w:lang w:eastAsia="el-GR"/>
              </w:rPr>
            </w:pPr>
            <w:r w:rsidRPr="0070744F">
              <w:rPr>
                <w:rFonts w:ascii="Tahoma" w:eastAsia="Times New Roman" w:hAnsi="Tahoma" w:cs="Tahoma"/>
                <w:b/>
                <w:bCs/>
                <w:sz w:val="20"/>
                <w:szCs w:val="20"/>
                <w:lang w:eastAsia="el-GR"/>
              </w:rPr>
              <w:t> </w:t>
            </w: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36"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r>
      <w:tr w:rsidR="0070744F" w:rsidRPr="0070744F" w:rsidTr="00E31135">
        <w:trPr>
          <w:trHeight w:val="255"/>
        </w:trPr>
        <w:tc>
          <w:tcPr>
            <w:tcW w:w="2977" w:type="dxa"/>
            <w:tcBorders>
              <w:top w:val="nil"/>
              <w:left w:val="nil"/>
              <w:bottom w:val="nil"/>
              <w:right w:val="nil"/>
            </w:tcBorders>
            <w:shd w:val="clear" w:color="000000" w:fill="FFFFFF"/>
            <w:vAlign w:val="bottom"/>
            <w:hideMark/>
          </w:tcPr>
          <w:p w:rsidR="0070744F" w:rsidRPr="0070744F" w:rsidRDefault="0070744F" w:rsidP="0070744F">
            <w:pPr>
              <w:spacing w:after="0" w:line="240" w:lineRule="auto"/>
              <w:rPr>
                <w:rFonts w:ascii="Tahoma" w:eastAsia="Times New Roman" w:hAnsi="Tahoma" w:cs="Tahoma"/>
                <w:b/>
                <w:bCs/>
                <w:sz w:val="20"/>
                <w:szCs w:val="20"/>
                <w:lang w:eastAsia="el-GR"/>
              </w:rPr>
            </w:pPr>
            <w:r w:rsidRPr="0070744F">
              <w:rPr>
                <w:rFonts w:ascii="Tahoma" w:eastAsia="Times New Roman" w:hAnsi="Tahoma" w:cs="Tahoma"/>
                <w:b/>
                <w:bCs/>
                <w:sz w:val="20"/>
                <w:szCs w:val="20"/>
                <w:lang w:eastAsia="el-GR"/>
              </w:rPr>
              <w:t> </w:t>
            </w: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36"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r>
      <w:tr w:rsidR="0070744F" w:rsidRPr="0070744F" w:rsidTr="00E31135">
        <w:trPr>
          <w:trHeight w:val="255"/>
        </w:trPr>
        <w:tc>
          <w:tcPr>
            <w:tcW w:w="2977"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36"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r>
      <w:tr w:rsidR="0070744F" w:rsidRPr="0070744F" w:rsidTr="00E31135">
        <w:trPr>
          <w:trHeight w:val="360"/>
        </w:trPr>
        <w:tc>
          <w:tcPr>
            <w:tcW w:w="2977"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5085" w:type="dxa"/>
            <w:gridSpan w:val="4"/>
            <w:tcBorders>
              <w:top w:val="nil"/>
              <w:left w:val="nil"/>
              <w:bottom w:val="nil"/>
              <w:right w:val="nil"/>
            </w:tcBorders>
            <w:shd w:val="clear" w:color="000000" w:fill="FFFFFF"/>
            <w:vAlign w:val="center"/>
            <w:hideMark/>
          </w:tcPr>
          <w:p w:rsidR="0070744F" w:rsidRPr="00E31135" w:rsidRDefault="0070744F" w:rsidP="0070744F">
            <w:pPr>
              <w:spacing w:after="0" w:line="240" w:lineRule="auto"/>
              <w:jc w:val="center"/>
              <w:rPr>
                <w:rFonts w:ascii="Tahoma" w:eastAsia="Times New Roman" w:hAnsi="Tahoma" w:cs="Tahoma"/>
                <w:b/>
                <w:bCs/>
                <w:sz w:val="20"/>
                <w:szCs w:val="20"/>
                <w:u w:val="single"/>
                <w:lang w:eastAsia="el-GR"/>
              </w:rPr>
            </w:pPr>
            <w:r w:rsidRPr="00E31135">
              <w:rPr>
                <w:rFonts w:ascii="Tahoma" w:eastAsia="Times New Roman" w:hAnsi="Tahoma" w:cs="Tahoma"/>
                <w:b/>
                <w:bCs/>
                <w:sz w:val="20"/>
                <w:szCs w:val="20"/>
                <w:u w:val="single"/>
                <w:lang w:eastAsia="el-GR"/>
              </w:rPr>
              <w:t>ΕΤΑΙΡΕΙΑ</w:t>
            </w:r>
          </w:p>
        </w:tc>
      </w:tr>
      <w:tr w:rsidR="0070744F" w:rsidRPr="0070744F" w:rsidTr="00E31135">
        <w:trPr>
          <w:trHeight w:val="435"/>
        </w:trPr>
        <w:tc>
          <w:tcPr>
            <w:tcW w:w="2977"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single" w:sz="4" w:space="0" w:color="auto"/>
              <w:right w:val="nil"/>
            </w:tcBorders>
            <w:shd w:val="clear" w:color="000000" w:fill="FFFFFF"/>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1.1-30.9.2020</w:t>
            </w:r>
          </w:p>
        </w:tc>
        <w:tc>
          <w:tcPr>
            <w:tcW w:w="1283" w:type="dxa"/>
            <w:tcBorders>
              <w:top w:val="nil"/>
              <w:left w:val="nil"/>
              <w:bottom w:val="single" w:sz="4" w:space="0" w:color="auto"/>
              <w:right w:val="nil"/>
            </w:tcBorders>
            <w:shd w:val="clear" w:color="000000" w:fill="FFFFFF"/>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1.1-30.9.2019</w:t>
            </w:r>
          </w:p>
        </w:tc>
        <w:tc>
          <w:tcPr>
            <w:tcW w:w="1283" w:type="dxa"/>
            <w:tcBorders>
              <w:top w:val="nil"/>
              <w:left w:val="nil"/>
              <w:bottom w:val="single" w:sz="4" w:space="0" w:color="auto"/>
              <w:right w:val="nil"/>
            </w:tcBorders>
            <w:shd w:val="clear" w:color="000000" w:fill="EEECE1"/>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1.7-30.9.2020</w:t>
            </w:r>
          </w:p>
        </w:tc>
        <w:tc>
          <w:tcPr>
            <w:tcW w:w="1236" w:type="dxa"/>
            <w:tcBorders>
              <w:top w:val="nil"/>
              <w:left w:val="nil"/>
              <w:bottom w:val="single" w:sz="4" w:space="0" w:color="auto"/>
              <w:right w:val="nil"/>
            </w:tcBorders>
            <w:shd w:val="clear" w:color="000000" w:fill="EEECE1"/>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1.7-30.9.2019</w:t>
            </w:r>
          </w:p>
        </w:tc>
      </w:tr>
      <w:tr w:rsidR="0070744F" w:rsidRPr="0070744F" w:rsidTr="00E31135">
        <w:trPr>
          <w:trHeight w:val="255"/>
        </w:trPr>
        <w:tc>
          <w:tcPr>
            <w:tcW w:w="2977"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000000" w:fill="FFFFFF"/>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 </w:t>
            </w:r>
          </w:p>
        </w:tc>
        <w:tc>
          <w:tcPr>
            <w:tcW w:w="1283" w:type="dxa"/>
            <w:tcBorders>
              <w:top w:val="nil"/>
              <w:left w:val="nil"/>
              <w:bottom w:val="nil"/>
              <w:right w:val="nil"/>
            </w:tcBorders>
            <w:shd w:val="clear" w:color="000000" w:fill="FFFFFF"/>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 </w:t>
            </w:r>
          </w:p>
        </w:tc>
        <w:tc>
          <w:tcPr>
            <w:tcW w:w="1283" w:type="dxa"/>
            <w:tcBorders>
              <w:top w:val="nil"/>
              <w:left w:val="nil"/>
              <w:bottom w:val="nil"/>
              <w:right w:val="nil"/>
            </w:tcBorders>
            <w:shd w:val="clear" w:color="000000" w:fill="EEECE1"/>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 </w:t>
            </w:r>
          </w:p>
        </w:tc>
        <w:tc>
          <w:tcPr>
            <w:tcW w:w="1236" w:type="dxa"/>
            <w:tcBorders>
              <w:top w:val="nil"/>
              <w:left w:val="nil"/>
              <w:bottom w:val="nil"/>
              <w:right w:val="nil"/>
            </w:tcBorders>
            <w:shd w:val="clear" w:color="000000" w:fill="EEECE1"/>
            <w:vAlign w:val="bottom"/>
            <w:hideMark/>
          </w:tcPr>
          <w:p w:rsidR="0070744F" w:rsidRPr="0070744F" w:rsidRDefault="0070744F" w:rsidP="0070744F">
            <w:pPr>
              <w:spacing w:after="0" w:line="240" w:lineRule="auto"/>
              <w:jc w:val="center"/>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 </w:t>
            </w:r>
          </w:p>
        </w:tc>
      </w:tr>
      <w:tr w:rsidR="0070744F" w:rsidRPr="0070744F" w:rsidTr="00E31135">
        <w:trPr>
          <w:trHeight w:val="255"/>
        </w:trPr>
        <w:tc>
          <w:tcPr>
            <w:tcW w:w="2977" w:type="dxa"/>
            <w:tcBorders>
              <w:top w:val="nil"/>
              <w:left w:val="nil"/>
              <w:bottom w:val="nil"/>
              <w:right w:val="nil"/>
            </w:tcBorders>
            <w:shd w:val="clear" w:color="000000" w:fill="FFFFFF"/>
            <w:vAlign w:val="bottom"/>
            <w:hideMark/>
          </w:tcPr>
          <w:p w:rsidR="0070744F" w:rsidRPr="00E31135" w:rsidRDefault="0070744F" w:rsidP="0070744F">
            <w:pPr>
              <w:spacing w:after="0" w:line="240" w:lineRule="auto"/>
              <w:rPr>
                <w:rFonts w:ascii="Tahoma" w:eastAsia="Times New Roman" w:hAnsi="Tahoma" w:cs="Tahoma"/>
                <w:b/>
                <w:bCs/>
                <w:sz w:val="16"/>
                <w:szCs w:val="16"/>
                <w:lang w:eastAsia="el-GR"/>
              </w:rPr>
            </w:pPr>
            <w:r w:rsidRPr="00E31135">
              <w:rPr>
                <w:rFonts w:ascii="Tahoma" w:eastAsia="Times New Roman" w:hAnsi="Tahoma" w:cs="Tahoma"/>
                <w:b/>
                <w:bCs/>
                <w:sz w:val="16"/>
                <w:szCs w:val="16"/>
                <w:lang w:eastAsia="el-GR"/>
              </w:rPr>
              <w:t>ΚΥΚΛΟΣ ΕΡΓΑΣΙΩΝ</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2.961.681,91</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3.543.729,10</w:t>
            </w: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1.022.683,59</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961.129,33</w:t>
            </w:r>
          </w:p>
        </w:tc>
      </w:tr>
      <w:tr w:rsidR="0070744F" w:rsidRPr="0070744F" w:rsidTr="00E31135">
        <w:trPr>
          <w:trHeight w:val="255"/>
        </w:trPr>
        <w:tc>
          <w:tcPr>
            <w:tcW w:w="2977" w:type="dxa"/>
            <w:tcBorders>
              <w:top w:val="nil"/>
              <w:left w:val="nil"/>
              <w:bottom w:val="nil"/>
              <w:right w:val="nil"/>
            </w:tcBorders>
            <w:shd w:val="clear" w:color="auto" w:fill="auto"/>
            <w:noWrap/>
            <w:vAlign w:val="bottom"/>
            <w:hideMark/>
          </w:tcPr>
          <w:p w:rsidR="0070744F" w:rsidRPr="00E31135" w:rsidRDefault="0070744F" w:rsidP="0070744F">
            <w:pPr>
              <w:spacing w:after="0" w:line="240" w:lineRule="auto"/>
              <w:rPr>
                <w:rFonts w:ascii="Arial Greek" w:eastAsia="Times New Roman" w:hAnsi="Arial Greek" w:cs="Arial Greek"/>
                <w:sz w:val="16"/>
                <w:szCs w:val="16"/>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r>
      <w:tr w:rsidR="0070744F" w:rsidRPr="0070744F" w:rsidTr="00E31135">
        <w:trPr>
          <w:trHeight w:val="510"/>
        </w:trPr>
        <w:tc>
          <w:tcPr>
            <w:tcW w:w="2977" w:type="dxa"/>
            <w:tcBorders>
              <w:top w:val="nil"/>
              <w:left w:val="nil"/>
              <w:bottom w:val="nil"/>
              <w:right w:val="nil"/>
            </w:tcBorders>
            <w:shd w:val="clear" w:color="000000" w:fill="FFFFFF"/>
            <w:vAlign w:val="bottom"/>
            <w:hideMark/>
          </w:tcPr>
          <w:p w:rsidR="0070744F" w:rsidRPr="00E31135" w:rsidRDefault="0070744F" w:rsidP="0070744F">
            <w:pPr>
              <w:spacing w:after="0" w:line="240" w:lineRule="auto"/>
              <w:rPr>
                <w:rFonts w:ascii="Tahoma" w:eastAsia="Times New Roman" w:hAnsi="Tahoma" w:cs="Tahoma"/>
                <w:b/>
                <w:bCs/>
                <w:sz w:val="16"/>
                <w:szCs w:val="16"/>
                <w:lang w:eastAsia="el-GR"/>
              </w:rPr>
            </w:pPr>
            <w:r w:rsidRPr="00E31135">
              <w:rPr>
                <w:rFonts w:ascii="Tahoma" w:eastAsia="Times New Roman" w:hAnsi="Tahoma" w:cs="Tahoma"/>
                <w:b/>
                <w:bCs/>
                <w:sz w:val="16"/>
                <w:szCs w:val="16"/>
                <w:lang w:eastAsia="el-GR"/>
              </w:rPr>
              <w:t>ΚΕΡΔΗ ΠΡΟ ΦΟΡΩΝ ΚΑΙ ΤΟΚΩΝ (ΕΒΙΤ)</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740.900,00</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163.202,71</w:t>
            </w: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-13.296,73</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-666.529,37</w:t>
            </w:r>
          </w:p>
        </w:tc>
      </w:tr>
      <w:tr w:rsidR="0070744F" w:rsidRPr="0070744F" w:rsidTr="00E31135">
        <w:trPr>
          <w:trHeight w:val="255"/>
        </w:trPr>
        <w:tc>
          <w:tcPr>
            <w:tcW w:w="2977" w:type="dxa"/>
            <w:tcBorders>
              <w:top w:val="nil"/>
              <w:left w:val="nil"/>
              <w:bottom w:val="nil"/>
              <w:right w:val="nil"/>
            </w:tcBorders>
            <w:shd w:val="clear" w:color="auto" w:fill="auto"/>
            <w:noWrap/>
            <w:vAlign w:val="bottom"/>
            <w:hideMark/>
          </w:tcPr>
          <w:p w:rsidR="0070744F" w:rsidRPr="00E31135" w:rsidRDefault="0070744F" w:rsidP="0070744F">
            <w:pPr>
              <w:spacing w:after="0" w:line="240" w:lineRule="auto"/>
              <w:rPr>
                <w:rFonts w:ascii="Arial Greek" w:eastAsia="Times New Roman" w:hAnsi="Arial Greek" w:cs="Arial Greek"/>
                <w:sz w:val="16"/>
                <w:szCs w:val="16"/>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r>
      <w:tr w:rsidR="0070744F" w:rsidRPr="0070744F" w:rsidTr="00E31135">
        <w:trPr>
          <w:trHeight w:val="510"/>
        </w:trPr>
        <w:tc>
          <w:tcPr>
            <w:tcW w:w="2977" w:type="dxa"/>
            <w:tcBorders>
              <w:top w:val="nil"/>
              <w:left w:val="nil"/>
              <w:bottom w:val="nil"/>
              <w:right w:val="nil"/>
            </w:tcBorders>
            <w:shd w:val="clear" w:color="000000" w:fill="FFFFFF"/>
            <w:vAlign w:val="bottom"/>
            <w:hideMark/>
          </w:tcPr>
          <w:p w:rsidR="0070744F" w:rsidRPr="00E31135" w:rsidRDefault="0070744F" w:rsidP="0070744F">
            <w:pPr>
              <w:spacing w:after="0" w:line="240" w:lineRule="auto"/>
              <w:rPr>
                <w:rFonts w:ascii="Tahoma" w:eastAsia="Times New Roman" w:hAnsi="Tahoma" w:cs="Tahoma"/>
                <w:b/>
                <w:bCs/>
                <w:sz w:val="16"/>
                <w:szCs w:val="16"/>
                <w:lang w:eastAsia="el-GR"/>
              </w:rPr>
            </w:pPr>
            <w:r w:rsidRPr="00E31135">
              <w:rPr>
                <w:rFonts w:ascii="Tahoma" w:eastAsia="Times New Roman" w:hAnsi="Tahoma" w:cs="Tahoma"/>
                <w:b/>
                <w:bCs/>
                <w:sz w:val="16"/>
                <w:szCs w:val="16"/>
                <w:lang w:eastAsia="el-GR"/>
              </w:rPr>
              <w:t>ΚΕΡΔΗ ΠΡΟ ΦΟΡΩΝ  (ΕΒΤ)</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711.783,56</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122.361,35</w:t>
            </w: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-31.122,63</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-978.330,40</w:t>
            </w:r>
          </w:p>
        </w:tc>
      </w:tr>
      <w:tr w:rsidR="0070744F" w:rsidRPr="0070744F" w:rsidTr="00E31135">
        <w:trPr>
          <w:trHeight w:val="255"/>
        </w:trPr>
        <w:tc>
          <w:tcPr>
            <w:tcW w:w="2977" w:type="dxa"/>
            <w:tcBorders>
              <w:top w:val="nil"/>
              <w:left w:val="nil"/>
              <w:bottom w:val="nil"/>
              <w:right w:val="nil"/>
            </w:tcBorders>
            <w:shd w:val="clear" w:color="auto" w:fill="auto"/>
            <w:noWrap/>
            <w:vAlign w:val="bottom"/>
            <w:hideMark/>
          </w:tcPr>
          <w:p w:rsidR="0070744F" w:rsidRPr="00E31135" w:rsidRDefault="0070744F" w:rsidP="0070744F">
            <w:pPr>
              <w:spacing w:after="0" w:line="240" w:lineRule="auto"/>
              <w:rPr>
                <w:rFonts w:ascii="Arial Greek" w:eastAsia="Times New Roman" w:hAnsi="Arial Greek" w:cs="Arial Greek"/>
                <w:sz w:val="16"/>
                <w:szCs w:val="16"/>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auto" w:fill="auto"/>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rPr>
                <w:rFonts w:ascii="Arial Greek" w:eastAsia="Times New Roman" w:hAnsi="Arial Greek" w:cs="Arial Greek"/>
                <w:sz w:val="20"/>
                <w:szCs w:val="20"/>
                <w:lang w:eastAsia="el-GR"/>
              </w:rPr>
            </w:pPr>
            <w:r w:rsidRPr="0070744F">
              <w:rPr>
                <w:rFonts w:ascii="Arial Greek" w:eastAsia="Times New Roman" w:hAnsi="Arial Greek" w:cs="Arial Greek"/>
                <w:sz w:val="20"/>
                <w:szCs w:val="20"/>
                <w:lang w:eastAsia="el-GR"/>
              </w:rPr>
              <w:t> </w:t>
            </w:r>
          </w:p>
        </w:tc>
      </w:tr>
      <w:tr w:rsidR="0070744F" w:rsidRPr="0070744F" w:rsidTr="00E31135">
        <w:trPr>
          <w:trHeight w:val="765"/>
        </w:trPr>
        <w:tc>
          <w:tcPr>
            <w:tcW w:w="2977" w:type="dxa"/>
            <w:tcBorders>
              <w:top w:val="nil"/>
              <w:left w:val="nil"/>
              <w:bottom w:val="nil"/>
              <w:right w:val="nil"/>
            </w:tcBorders>
            <w:shd w:val="clear" w:color="000000" w:fill="FFFFFF"/>
            <w:vAlign w:val="bottom"/>
            <w:hideMark/>
          </w:tcPr>
          <w:p w:rsidR="0070744F" w:rsidRPr="00E31135" w:rsidRDefault="0070744F" w:rsidP="0070744F">
            <w:pPr>
              <w:spacing w:after="0" w:line="240" w:lineRule="auto"/>
              <w:rPr>
                <w:rFonts w:ascii="Tahoma" w:eastAsia="Times New Roman" w:hAnsi="Tahoma" w:cs="Tahoma"/>
                <w:b/>
                <w:bCs/>
                <w:sz w:val="16"/>
                <w:szCs w:val="16"/>
                <w:lang w:eastAsia="el-GR"/>
              </w:rPr>
            </w:pPr>
            <w:r w:rsidRPr="00E31135">
              <w:rPr>
                <w:rFonts w:ascii="Tahoma" w:eastAsia="Times New Roman" w:hAnsi="Tahoma" w:cs="Tahoma"/>
                <w:b/>
                <w:bCs/>
                <w:sz w:val="16"/>
                <w:szCs w:val="16"/>
                <w:lang w:eastAsia="el-GR"/>
              </w:rPr>
              <w:t>ΚΕΡΔΗ ΠΡΟ ΦΟΡΩΝ  ΤΟΚΩΝ ΚΑΙ ΣΥΝΟΛΙΚΩΝ  ΑΠΟΣΒΕΣΕΩΝ  (ΕΒΙΤDA)</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900.596,81</w:t>
            </w:r>
          </w:p>
        </w:tc>
        <w:tc>
          <w:tcPr>
            <w:tcW w:w="1283" w:type="dxa"/>
            <w:tcBorders>
              <w:top w:val="nil"/>
              <w:left w:val="nil"/>
              <w:bottom w:val="nil"/>
              <w:right w:val="nil"/>
            </w:tcBorders>
            <w:shd w:val="clear" w:color="000000" w:fill="FFFFFF"/>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325.388,85</w:t>
            </w:r>
          </w:p>
        </w:tc>
        <w:tc>
          <w:tcPr>
            <w:tcW w:w="1283"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40.737,49</w:t>
            </w:r>
          </w:p>
        </w:tc>
        <w:tc>
          <w:tcPr>
            <w:tcW w:w="1236" w:type="dxa"/>
            <w:tcBorders>
              <w:top w:val="nil"/>
              <w:left w:val="nil"/>
              <w:bottom w:val="nil"/>
              <w:right w:val="nil"/>
            </w:tcBorders>
            <w:shd w:val="clear" w:color="000000" w:fill="EEECE1"/>
            <w:noWrap/>
            <w:vAlign w:val="bottom"/>
            <w:hideMark/>
          </w:tcPr>
          <w:p w:rsidR="0070744F" w:rsidRPr="0070744F" w:rsidRDefault="0070744F" w:rsidP="0070744F">
            <w:pPr>
              <w:spacing w:after="0" w:line="240" w:lineRule="auto"/>
              <w:jc w:val="right"/>
              <w:rPr>
                <w:rFonts w:ascii="Tahoma" w:eastAsia="Times New Roman" w:hAnsi="Tahoma" w:cs="Tahoma"/>
                <w:b/>
                <w:bCs/>
                <w:sz w:val="16"/>
                <w:szCs w:val="16"/>
                <w:lang w:eastAsia="el-GR"/>
              </w:rPr>
            </w:pPr>
            <w:r w:rsidRPr="0070744F">
              <w:rPr>
                <w:rFonts w:ascii="Tahoma" w:eastAsia="Times New Roman" w:hAnsi="Tahoma" w:cs="Tahoma"/>
                <w:b/>
                <w:bCs/>
                <w:sz w:val="16"/>
                <w:szCs w:val="16"/>
                <w:lang w:eastAsia="el-GR"/>
              </w:rPr>
              <w:t>-616.082,81</w:t>
            </w:r>
          </w:p>
        </w:tc>
      </w:tr>
    </w:tbl>
    <w:p w:rsidR="00F276E2" w:rsidRPr="0070744F" w:rsidRDefault="00F276E2" w:rsidP="0034765B">
      <w:pPr>
        <w:rPr>
          <w:sz w:val="20"/>
          <w:szCs w:val="20"/>
        </w:rPr>
      </w:pPr>
    </w:p>
    <w:p w:rsidR="00F276E2" w:rsidRPr="0070744F" w:rsidRDefault="00F276E2" w:rsidP="0034765B">
      <w:pPr>
        <w:rPr>
          <w:sz w:val="20"/>
          <w:szCs w:val="20"/>
        </w:rPr>
      </w:pPr>
    </w:p>
    <w:p w:rsidR="00F276E2" w:rsidRDefault="00BE37C4" w:rsidP="00E31135">
      <w:pPr>
        <w:spacing w:after="0" w:line="240" w:lineRule="auto"/>
        <w:rPr>
          <w:rFonts w:ascii="Tahoma" w:eastAsia="Times New Roman" w:hAnsi="Tahoma" w:cs="Tahoma"/>
          <w:b/>
          <w:bCs/>
          <w:sz w:val="18"/>
          <w:szCs w:val="18"/>
          <w:lang w:eastAsia="el-GR"/>
        </w:rPr>
      </w:pPr>
      <w:r>
        <w:rPr>
          <w:rFonts w:ascii="Tahoma" w:eastAsia="Times New Roman" w:hAnsi="Tahoma" w:cs="Tahoma"/>
          <w:b/>
          <w:bCs/>
          <w:sz w:val="18"/>
          <w:szCs w:val="18"/>
          <w:lang w:eastAsia="el-GR"/>
        </w:rPr>
        <w:t xml:space="preserve">  ΚΑΤΑΣΤΑΣΗ </w:t>
      </w:r>
      <w:r w:rsidR="00E31135" w:rsidRPr="00E31135">
        <w:rPr>
          <w:rFonts w:ascii="Tahoma" w:eastAsia="Times New Roman" w:hAnsi="Tahoma" w:cs="Tahoma"/>
          <w:b/>
          <w:bCs/>
          <w:sz w:val="18"/>
          <w:szCs w:val="18"/>
          <w:lang w:eastAsia="el-GR"/>
        </w:rPr>
        <w:t>ΧΡΗΜΑΤΟΟΙΚΟΝΟΜΙΚΗ</w:t>
      </w:r>
      <w:r>
        <w:rPr>
          <w:rFonts w:ascii="Tahoma" w:eastAsia="Times New Roman" w:hAnsi="Tahoma" w:cs="Tahoma"/>
          <w:b/>
          <w:bCs/>
          <w:sz w:val="18"/>
          <w:szCs w:val="18"/>
          <w:lang w:eastAsia="el-GR"/>
        </w:rPr>
        <w:t>Σ  ΘΕΣΗΣ</w:t>
      </w:r>
    </w:p>
    <w:p w:rsidR="00260C82" w:rsidRDefault="00260C82" w:rsidP="00E31135">
      <w:pPr>
        <w:spacing w:after="0" w:line="240" w:lineRule="auto"/>
        <w:rPr>
          <w:rFonts w:ascii="Tahoma" w:eastAsia="Times New Roman" w:hAnsi="Tahoma" w:cs="Tahoma"/>
          <w:b/>
          <w:bCs/>
          <w:sz w:val="18"/>
          <w:szCs w:val="18"/>
          <w:lang w:eastAsia="el-GR"/>
        </w:rPr>
      </w:pPr>
    </w:p>
    <w:p w:rsidR="00260C82" w:rsidRPr="00E31135" w:rsidRDefault="009A08E9" w:rsidP="00E31135">
      <w:pPr>
        <w:spacing w:after="0" w:line="240" w:lineRule="auto"/>
        <w:rPr>
          <w:rFonts w:ascii="Tahoma" w:eastAsia="Times New Roman" w:hAnsi="Tahoma" w:cs="Tahoma"/>
          <w:b/>
          <w:bCs/>
          <w:sz w:val="18"/>
          <w:szCs w:val="18"/>
          <w:lang w:eastAsia="el-GR"/>
        </w:rPr>
      </w:pPr>
      <w:r w:rsidRPr="009A08E9">
        <w:rPr>
          <w:szCs w:val="18"/>
        </w:rPr>
        <w:drawing>
          <wp:inline distT="0" distB="0" distL="0" distR="0">
            <wp:extent cx="5274310" cy="2101404"/>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4310" cy="2101404"/>
                    </a:xfrm>
                    <a:prstGeom prst="rect">
                      <a:avLst/>
                    </a:prstGeom>
                    <a:noFill/>
                    <a:ln w="9525">
                      <a:noFill/>
                      <a:miter lim="800000"/>
                      <a:headEnd/>
                      <a:tailEnd/>
                    </a:ln>
                  </pic:spPr>
                </pic:pic>
              </a:graphicData>
            </a:graphic>
          </wp:inline>
        </w:drawing>
      </w:r>
    </w:p>
    <w:p w:rsidR="00E31135" w:rsidRDefault="00E31135" w:rsidP="0034765B">
      <w:pPr>
        <w:rPr>
          <w:sz w:val="20"/>
          <w:szCs w:val="20"/>
        </w:rPr>
      </w:pPr>
    </w:p>
    <w:p w:rsidR="0034765B" w:rsidRDefault="0034765B" w:rsidP="0034765B">
      <w:pPr>
        <w:pStyle w:val="Default"/>
        <w:jc w:val="both"/>
        <w:rPr>
          <w:sz w:val="20"/>
          <w:szCs w:val="20"/>
        </w:rPr>
      </w:pPr>
      <w:r w:rsidRPr="0034765B">
        <w:rPr>
          <w:sz w:val="20"/>
          <w:szCs w:val="20"/>
        </w:rPr>
        <w:t xml:space="preserve">Η Διοίκηση του Ομίλου με υψηλό αίσθημα ευθύνης απέναντι στους εργαζομένους, τους πελάτες, τους προμηθευτές, τους συνεργάτες και τους επενδυτές, παρακολουθεί στενά όλες τις εξελίξεις που σχετίζονται με την πρωτοφανή υγειονομική κρίση και έχει θέσει από την πρώτη στιγμή σε εφαρμογή σχέδιο διασφάλισης της υγείας του προσωπικού, σύμφωνα με τις κατευθυντήριες γραμμές και συστάσεις του Παγκόσμιου Οργανισμού Υγείας (Π.Ο.Υ.), του Εθνικού Οργανισμού Δημόσιας Υγείας (Ε.Ο.Δ.Υ.) και της Γενικής Γραμματείας Πολιτικής Προστασίας (Γ.Γ.Π.Π.). </w:t>
      </w:r>
    </w:p>
    <w:p w:rsidR="00260C82" w:rsidRPr="0034765B" w:rsidRDefault="00260C82" w:rsidP="0034765B">
      <w:pPr>
        <w:pStyle w:val="Default"/>
        <w:jc w:val="both"/>
        <w:rPr>
          <w:sz w:val="20"/>
          <w:szCs w:val="20"/>
        </w:rPr>
      </w:pPr>
    </w:p>
    <w:p w:rsidR="0034765B" w:rsidRDefault="0034765B" w:rsidP="0034765B">
      <w:pPr>
        <w:pStyle w:val="Default"/>
        <w:jc w:val="both"/>
        <w:rPr>
          <w:sz w:val="20"/>
          <w:szCs w:val="20"/>
        </w:rPr>
      </w:pPr>
      <w:r w:rsidRPr="0034765B">
        <w:rPr>
          <w:sz w:val="20"/>
          <w:szCs w:val="20"/>
        </w:rPr>
        <w:t xml:space="preserve">Επιπρόσθετα μελετά σε συστηματική βάση όλους τους πιθανούς παράγοντες κινδύνου, οι οποίοι ενδέχεται να επηρεάσουν τη χρηματοοικονομική θέση, τις δραστηριότητες και τα αποτελέσματα του Ομίλου και έχει λάβει όλα τα ενδεδειγμένα μέτρα για την εξασφάλιση της ακώλυτης λειτουργίας και απρόσκοπτης επιχειρησιακής συνέχειας του Ομίλου. </w:t>
      </w:r>
    </w:p>
    <w:p w:rsidR="00260C82" w:rsidRPr="0034765B" w:rsidRDefault="00260C82" w:rsidP="0034765B">
      <w:pPr>
        <w:pStyle w:val="Default"/>
        <w:jc w:val="both"/>
        <w:rPr>
          <w:sz w:val="20"/>
          <w:szCs w:val="20"/>
        </w:rPr>
      </w:pPr>
    </w:p>
    <w:p w:rsidR="0034765B" w:rsidRDefault="0034765B" w:rsidP="0034765B">
      <w:pPr>
        <w:pStyle w:val="Default"/>
        <w:jc w:val="both"/>
        <w:rPr>
          <w:sz w:val="20"/>
          <w:szCs w:val="20"/>
        </w:rPr>
      </w:pPr>
      <w:r w:rsidRPr="0034765B">
        <w:rPr>
          <w:sz w:val="20"/>
          <w:szCs w:val="20"/>
        </w:rPr>
        <w:t xml:space="preserve">Με βάση τα δεδομένα που ισχύουν κατά το χρόνο σύνταξης της παρούσας και στο βαθμό που είναι δυνατό να προβλεφθεί, η Διοίκηση του Ομίλου εκτιμά ότι δεν υφίσταται μέχρι την λήξη της τρέχουσας χρήσης οιαδήποτε ουσιώδης αβεβαιότητα ως προς την συνέχιση της δραστηριότητας, την παραγωγική λειτουργία, τις πωλήσεις και την εφοδιαστική αλυσίδα τόσο της μητρικής Εταιρείας όσο και των λοιπών οντοτήτων που ανήκουν στον Όμιλο, καθώς όπως αποτυπώνεται και από τους ως άνω πίνακες δεν έχουν πληγεί ούτε τα θεμελιώδη οικονομικά μεγέθη, ούτε η εν γένει χρηματοοικονομική κατάσταση του Ομίλου. </w:t>
      </w:r>
    </w:p>
    <w:p w:rsidR="00260C82" w:rsidRPr="0034765B" w:rsidRDefault="00260C82" w:rsidP="0034765B">
      <w:pPr>
        <w:pStyle w:val="Default"/>
        <w:jc w:val="both"/>
        <w:rPr>
          <w:sz w:val="20"/>
          <w:szCs w:val="20"/>
        </w:rPr>
      </w:pPr>
    </w:p>
    <w:p w:rsidR="0034765B" w:rsidRPr="00F276E2" w:rsidRDefault="0034765B" w:rsidP="0034765B">
      <w:pPr>
        <w:jc w:val="both"/>
        <w:rPr>
          <w:rFonts w:ascii="Tahoma" w:hAnsi="Tahoma" w:cs="Tahoma"/>
        </w:rPr>
      </w:pPr>
      <w:r w:rsidRPr="0034765B">
        <w:rPr>
          <w:rFonts w:ascii="Tahoma" w:hAnsi="Tahoma" w:cs="Tahoma"/>
          <w:sz w:val="20"/>
          <w:szCs w:val="20"/>
        </w:rPr>
        <w:t>Παρόλα αυτά, δεδομένου ότι βρίσκεται σε πλήρη εξέλιξη το δεύτερο και σφοδρότερο κύμα της πανδημίας, η Διοίκηση του Ομίλου τηρεί επιφυλακτική στάση αναφορικά με τις μελλοντικές επιπτώσεις στις προοπτικές του Ομίλου και της Εταιρείας, ενώ λόγω του έντονου βαθμού αβεβαιότητας ως προς την διάρκεια της πανδημικής κρίσης και τις επιπτώσεις αυτής τόσο στην ελληνική οικονομία όσο και στις οικονομίες των λοιπών χωρών στις οποίες δραστηριοποιείται ο Όμιλος και η Εταιρεία δε δύναται να αποκλεισθεί το ενδεχόμενο οι συνολικές επιδόσεις και η πορεία του Ομίλου και της Εταιρείας να επηρεαστούν στο μέλλον</w:t>
      </w:r>
      <w:r w:rsidR="00F276E2" w:rsidRPr="00F276E2">
        <w:rPr>
          <w:rFonts w:ascii="Tahoma" w:hAnsi="Tahoma" w:cs="Tahoma"/>
          <w:sz w:val="20"/>
          <w:szCs w:val="20"/>
        </w:rPr>
        <w:t>.</w:t>
      </w:r>
    </w:p>
    <w:sectPr w:rsidR="0034765B" w:rsidRPr="00F276E2" w:rsidSect="00254D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Greek">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34765B"/>
    <w:rsid w:val="001A7FDC"/>
    <w:rsid w:val="00254DCA"/>
    <w:rsid w:val="00260C82"/>
    <w:rsid w:val="002E572A"/>
    <w:rsid w:val="0034765B"/>
    <w:rsid w:val="00424E0C"/>
    <w:rsid w:val="004C4A4C"/>
    <w:rsid w:val="005367B9"/>
    <w:rsid w:val="00671F2E"/>
    <w:rsid w:val="0070744F"/>
    <w:rsid w:val="007911ED"/>
    <w:rsid w:val="008F2127"/>
    <w:rsid w:val="009A08E9"/>
    <w:rsid w:val="009B05E8"/>
    <w:rsid w:val="00BE37C4"/>
    <w:rsid w:val="00BF4A97"/>
    <w:rsid w:val="00C542FF"/>
    <w:rsid w:val="00E21939"/>
    <w:rsid w:val="00E31135"/>
    <w:rsid w:val="00F276E2"/>
    <w:rsid w:val="00FB7D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765B"/>
    <w:pPr>
      <w:autoSpaceDE w:val="0"/>
      <w:autoSpaceDN w:val="0"/>
      <w:adjustRightInd w:val="0"/>
      <w:spacing w:after="0" w:line="240" w:lineRule="auto"/>
    </w:pPr>
    <w:rPr>
      <w:rFonts w:ascii="Tahoma" w:hAnsi="Tahoma" w:cs="Tahoma"/>
      <w:color w:val="000000"/>
      <w:sz w:val="24"/>
      <w:szCs w:val="24"/>
    </w:rPr>
  </w:style>
  <w:style w:type="paragraph" w:styleId="a3">
    <w:name w:val="Balloon Text"/>
    <w:basedOn w:val="a"/>
    <w:link w:val="Char"/>
    <w:uiPriority w:val="99"/>
    <w:semiHidden/>
    <w:unhideWhenUsed/>
    <w:rsid w:val="00FB7D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B7D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663444">
      <w:bodyDiv w:val="1"/>
      <w:marLeft w:val="0"/>
      <w:marRight w:val="0"/>
      <w:marTop w:val="0"/>
      <w:marBottom w:val="0"/>
      <w:divBdr>
        <w:top w:val="none" w:sz="0" w:space="0" w:color="auto"/>
        <w:left w:val="none" w:sz="0" w:space="0" w:color="auto"/>
        <w:bottom w:val="none" w:sz="0" w:space="0" w:color="auto"/>
        <w:right w:val="none" w:sz="0" w:space="0" w:color="auto"/>
      </w:divBdr>
    </w:div>
    <w:div w:id="642201993">
      <w:bodyDiv w:val="1"/>
      <w:marLeft w:val="0"/>
      <w:marRight w:val="0"/>
      <w:marTop w:val="0"/>
      <w:marBottom w:val="0"/>
      <w:divBdr>
        <w:top w:val="none" w:sz="0" w:space="0" w:color="auto"/>
        <w:left w:val="none" w:sz="0" w:space="0" w:color="auto"/>
        <w:bottom w:val="none" w:sz="0" w:space="0" w:color="auto"/>
        <w:right w:val="none" w:sz="0" w:space="0" w:color="auto"/>
      </w:divBdr>
    </w:div>
    <w:div w:id="920407577">
      <w:bodyDiv w:val="1"/>
      <w:marLeft w:val="0"/>
      <w:marRight w:val="0"/>
      <w:marTop w:val="0"/>
      <w:marBottom w:val="0"/>
      <w:divBdr>
        <w:top w:val="none" w:sz="0" w:space="0" w:color="auto"/>
        <w:left w:val="none" w:sz="0" w:space="0" w:color="auto"/>
        <w:bottom w:val="none" w:sz="0" w:space="0" w:color="auto"/>
        <w:right w:val="none" w:sz="0" w:space="0" w:color="auto"/>
      </w:divBdr>
    </w:div>
    <w:div w:id="1050226809">
      <w:bodyDiv w:val="1"/>
      <w:marLeft w:val="0"/>
      <w:marRight w:val="0"/>
      <w:marTop w:val="0"/>
      <w:marBottom w:val="0"/>
      <w:divBdr>
        <w:top w:val="none" w:sz="0" w:space="0" w:color="auto"/>
        <w:left w:val="none" w:sz="0" w:space="0" w:color="auto"/>
        <w:bottom w:val="none" w:sz="0" w:space="0" w:color="auto"/>
        <w:right w:val="none" w:sz="0" w:space="0" w:color="auto"/>
      </w:divBdr>
    </w:div>
    <w:div w:id="1060059289">
      <w:bodyDiv w:val="1"/>
      <w:marLeft w:val="0"/>
      <w:marRight w:val="0"/>
      <w:marTop w:val="0"/>
      <w:marBottom w:val="0"/>
      <w:divBdr>
        <w:top w:val="none" w:sz="0" w:space="0" w:color="auto"/>
        <w:left w:val="none" w:sz="0" w:space="0" w:color="auto"/>
        <w:bottom w:val="none" w:sz="0" w:space="0" w:color="auto"/>
        <w:right w:val="none" w:sz="0" w:space="0" w:color="auto"/>
      </w:divBdr>
    </w:div>
    <w:div w:id="1309167643">
      <w:bodyDiv w:val="1"/>
      <w:marLeft w:val="0"/>
      <w:marRight w:val="0"/>
      <w:marTop w:val="0"/>
      <w:marBottom w:val="0"/>
      <w:divBdr>
        <w:top w:val="none" w:sz="0" w:space="0" w:color="auto"/>
        <w:left w:val="none" w:sz="0" w:space="0" w:color="auto"/>
        <w:bottom w:val="none" w:sz="0" w:space="0" w:color="auto"/>
        <w:right w:val="none" w:sz="0" w:space="0" w:color="auto"/>
      </w:divBdr>
    </w:div>
    <w:div w:id="1539588329">
      <w:bodyDiv w:val="1"/>
      <w:marLeft w:val="0"/>
      <w:marRight w:val="0"/>
      <w:marTop w:val="0"/>
      <w:marBottom w:val="0"/>
      <w:divBdr>
        <w:top w:val="none" w:sz="0" w:space="0" w:color="auto"/>
        <w:left w:val="none" w:sz="0" w:space="0" w:color="auto"/>
        <w:bottom w:val="none" w:sz="0" w:space="0" w:color="auto"/>
        <w:right w:val="none" w:sz="0" w:space="0" w:color="auto"/>
      </w:divBdr>
    </w:div>
    <w:div w:id="1557860113">
      <w:bodyDiv w:val="1"/>
      <w:marLeft w:val="0"/>
      <w:marRight w:val="0"/>
      <w:marTop w:val="0"/>
      <w:marBottom w:val="0"/>
      <w:divBdr>
        <w:top w:val="none" w:sz="0" w:space="0" w:color="auto"/>
        <w:left w:val="none" w:sz="0" w:space="0" w:color="auto"/>
        <w:bottom w:val="none" w:sz="0" w:space="0" w:color="auto"/>
        <w:right w:val="none" w:sz="0" w:space="0" w:color="auto"/>
      </w:divBdr>
    </w:div>
    <w:div w:id="17986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818</Words>
  <Characters>4423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NikMak</dc:creator>
  <cp:lastModifiedBy>Account-03</cp:lastModifiedBy>
  <cp:revision>8</cp:revision>
  <cp:lastPrinted>2020-12-08T10:41:00Z</cp:lastPrinted>
  <dcterms:created xsi:type="dcterms:W3CDTF">2020-12-04T10:11:00Z</dcterms:created>
  <dcterms:modified xsi:type="dcterms:W3CDTF">2020-12-08T13:33:00Z</dcterms:modified>
</cp:coreProperties>
</file>