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E13" w:rsidRDefault="004D3E13" w:rsidP="004D3E13">
      <w:pPr>
        <w:rPr>
          <w:rFonts w:ascii="Arial" w:hAnsi="Arial" w:cs="Arial"/>
          <w:sz w:val="22"/>
          <w:szCs w:val="22"/>
          <w:lang w:val="en-US"/>
        </w:rPr>
      </w:pPr>
    </w:p>
    <w:p w:rsidR="004D3E13" w:rsidRPr="00151302" w:rsidRDefault="004D3E13" w:rsidP="004D3E13">
      <w:pPr>
        <w:jc w:val="center"/>
        <w:rPr>
          <w:rFonts w:ascii="Arial" w:hAnsi="Arial" w:cs="Arial"/>
          <w:b/>
          <w:spacing w:val="1"/>
          <w:sz w:val="20"/>
          <w:szCs w:val="20"/>
          <w:lang w:val="en-GB"/>
        </w:rPr>
      </w:pPr>
    </w:p>
    <w:p w:rsidR="004D3E13" w:rsidRPr="00151302" w:rsidRDefault="004D3E13" w:rsidP="004D3E13">
      <w:pPr>
        <w:jc w:val="center"/>
        <w:rPr>
          <w:rFonts w:ascii="Arial" w:hAnsi="Arial" w:cs="Arial"/>
          <w:b/>
          <w:spacing w:val="1"/>
          <w:sz w:val="20"/>
          <w:szCs w:val="20"/>
          <w:lang w:val="en-GB"/>
        </w:rPr>
      </w:pPr>
    </w:p>
    <w:p w:rsidR="004D3E13" w:rsidRDefault="004D3E13" w:rsidP="004D3E13">
      <w:pPr>
        <w:jc w:val="center"/>
        <w:rPr>
          <w:rFonts w:ascii="Arial" w:hAnsi="Arial" w:cs="Arial"/>
          <w:b/>
          <w:spacing w:val="1"/>
          <w:sz w:val="20"/>
          <w:szCs w:val="20"/>
          <w:lang w:val="en-US"/>
        </w:rPr>
      </w:pPr>
      <w:r w:rsidRPr="00E55FF8">
        <w:rPr>
          <w:rFonts w:ascii="Arial" w:hAnsi="Arial" w:cs="Arial"/>
          <w:b/>
          <w:spacing w:val="1"/>
          <w:sz w:val="20"/>
          <w:szCs w:val="20"/>
          <w:lang w:val="en-US"/>
        </w:rPr>
        <w:t xml:space="preserve">ALPHA ETF FTSE </w:t>
      </w:r>
      <w:proofErr w:type="spellStart"/>
      <w:r w:rsidRPr="00E55FF8">
        <w:rPr>
          <w:rFonts w:ascii="Arial" w:hAnsi="Arial" w:cs="Arial"/>
          <w:b/>
          <w:spacing w:val="1"/>
          <w:sz w:val="20"/>
          <w:szCs w:val="20"/>
          <w:lang w:val="en-US"/>
        </w:rPr>
        <w:t>Athex</w:t>
      </w:r>
      <w:proofErr w:type="spellEnd"/>
      <w:r w:rsidRPr="00E55FF8">
        <w:rPr>
          <w:rFonts w:ascii="Arial" w:hAnsi="Arial" w:cs="Arial"/>
          <w:b/>
          <w:spacing w:val="1"/>
          <w:sz w:val="20"/>
          <w:szCs w:val="20"/>
          <w:lang w:val="en-US"/>
        </w:rPr>
        <w:t xml:space="preserve"> Large Cap EQUITY UCITS</w:t>
      </w:r>
    </w:p>
    <w:p w:rsidR="004D3E13" w:rsidRDefault="004D3E13" w:rsidP="004D3E13">
      <w:pPr>
        <w:jc w:val="center"/>
        <w:rPr>
          <w:rFonts w:ascii="Arial" w:hAnsi="Arial" w:cs="Arial"/>
          <w:b/>
          <w:spacing w:val="1"/>
          <w:sz w:val="20"/>
          <w:szCs w:val="20"/>
          <w:lang w:val="en-US"/>
        </w:rPr>
      </w:pPr>
      <w:r w:rsidRPr="00151302">
        <w:rPr>
          <w:rFonts w:ascii="Arial" w:hAnsi="Arial" w:cs="Arial"/>
          <w:b/>
          <w:spacing w:val="1"/>
          <w:sz w:val="20"/>
          <w:szCs w:val="20"/>
          <w:lang w:val="en-US"/>
        </w:rPr>
        <w:t>CAPITAL RETURN WITH REINVESTMENT INTO SHARES OF THE ETF MUTUAL FUND</w:t>
      </w:r>
    </w:p>
    <w:p w:rsidR="00E73231" w:rsidRDefault="00E73231" w:rsidP="004D3E13">
      <w:pPr>
        <w:jc w:val="center"/>
        <w:rPr>
          <w:rFonts w:ascii="Arial" w:hAnsi="Arial" w:cs="Arial"/>
          <w:b/>
          <w:spacing w:val="1"/>
          <w:sz w:val="20"/>
          <w:szCs w:val="20"/>
          <w:lang w:val="en-US"/>
        </w:rPr>
      </w:pPr>
    </w:p>
    <w:p w:rsidR="00E73231" w:rsidRPr="009A6F5E" w:rsidRDefault="00E73231" w:rsidP="00E73231">
      <w:pPr>
        <w:ind w:left="4756" w:firstLine="1004"/>
        <w:rPr>
          <w:rFonts w:ascii="Arial" w:hAnsi="Arial" w:cs="Arial"/>
          <w:sz w:val="20"/>
          <w:szCs w:val="20"/>
          <w:lang w:val="en-US"/>
        </w:rPr>
      </w:pPr>
      <w:r w:rsidRPr="009A6F5E">
        <w:rPr>
          <w:rFonts w:ascii="Arial" w:hAnsi="Arial" w:cs="Arial"/>
          <w:sz w:val="20"/>
          <w:szCs w:val="20"/>
          <w:lang w:val="en-US"/>
        </w:rPr>
        <w:t>Athens</w:t>
      </w:r>
      <w:r w:rsidRPr="009A6F5E">
        <w:rPr>
          <w:rFonts w:ascii="Arial" w:hAnsi="Arial" w:cs="Arial"/>
          <w:sz w:val="20"/>
          <w:szCs w:val="20"/>
          <w:lang w:val="en-GB"/>
        </w:rPr>
        <w:t>, 2</w:t>
      </w:r>
      <w:r>
        <w:rPr>
          <w:rFonts w:ascii="Arial" w:hAnsi="Arial" w:cs="Arial"/>
          <w:sz w:val="20"/>
          <w:szCs w:val="20"/>
          <w:lang w:val="en-GB"/>
        </w:rPr>
        <w:t>5</w:t>
      </w:r>
      <w:r w:rsidRPr="009A6F5E">
        <w:rPr>
          <w:rFonts w:ascii="Arial" w:hAnsi="Arial" w:cs="Arial"/>
          <w:sz w:val="20"/>
          <w:szCs w:val="20"/>
          <w:lang w:val="en-GB"/>
        </w:rPr>
        <w:t xml:space="preserve"> </w:t>
      </w:r>
      <w:r w:rsidRPr="009A6F5E">
        <w:rPr>
          <w:rFonts w:ascii="Arial" w:hAnsi="Arial" w:cs="Arial"/>
          <w:sz w:val="20"/>
          <w:szCs w:val="20"/>
          <w:lang w:val="en-US"/>
        </w:rPr>
        <w:t>June</w:t>
      </w:r>
      <w:r w:rsidRPr="009A6F5E">
        <w:rPr>
          <w:rFonts w:ascii="Arial" w:hAnsi="Arial" w:cs="Arial"/>
          <w:sz w:val="20"/>
          <w:szCs w:val="20"/>
          <w:lang w:val="en-GB"/>
        </w:rPr>
        <w:t xml:space="preserve"> 20</w:t>
      </w:r>
      <w:r>
        <w:rPr>
          <w:rFonts w:ascii="Arial" w:hAnsi="Arial" w:cs="Arial"/>
          <w:sz w:val="20"/>
          <w:szCs w:val="20"/>
          <w:lang w:val="en-US"/>
        </w:rPr>
        <w:t>20</w:t>
      </w:r>
    </w:p>
    <w:p w:rsidR="00E73231" w:rsidRPr="00151302" w:rsidRDefault="00E73231" w:rsidP="004D3E13">
      <w:pPr>
        <w:jc w:val="center"/>
        <w:rPr>
          <w:rFonts w:ascii="Arial" w:hAnsi="Arial" w:cs="Arial"/>
          <w:b/>
          <w:spacing w:val="1"/>
          <w:sz w:val="20"/>
          <w:szCs w:val="20"/>
          <w:lang w:val="en-US"/>
        </w:rPr>
      </w:pPr>
    </w:p>
    <w:p w:rsidR="004D3E13" w:rsidRPr="00151302" w:rsidRDefault="004D3E13" w:rsidP="004D3E13">
      <w:pPr>
        <w:jc w:val="center"/>
        <w:rPr>
          <w:rFonts w:ascii="Arial" w:hAnsi="Arial" w:cs="Arial"/>
          <w:b/>
          <w:spacing w:val="1"/>
          <w:sz w:val="20"/>
          <w:szCs w:val="20"/>
          <w:lang w:val="en-US"/>
        </w:rPr>
      </w:pPr>
    </w:p>
    <w:p w:rsidR="004D3E13" w:rsidRPr="00151302" w:rsidRDefault="004D3E13" w:rsidP="004D3E13">
      <w:pPr>
        <w:jc w:val="center"/>
        <w:rPr>
          <w:rFonts w:ascii="Arial" w:hAnsi="Arial" w:cs="Arial"/>
          <w:b/>
          <w:spacing w:val="1"/>
          <w:sz w:val="20"/>
          <w:szCs w:val="20"/>
          <w:lang w:val="en-US"/>
        </w:rPr>
      </w:pPr>
    </w:p>
    <w:p w:rsidR="004D3E13" w:rsidRPr="00151302" w:rsidRDefault="004D3E13" w:rsidP="004D3E13">
      <w:pPr>
        <w:pStyle w:val="BodyText2"/>
        <w:ind w:right="-484"/>
        <w:jc w:val="left"/>
        <w:rPr>
          <w:rFonts w:ascii="Arial" w:hAnsi="Arial" w:cs="Arial"/>
          <w:color w:val="000000"/>
          <w:sz w:val="20"/>
          <w:szCs w:val="20"/>
          <w:lang w:val="en-GB"/>
        </w:rPr>
      </w:pPr>
      <w:r w:rsidRPr="00D238B0">
        <w:rPr>
          <w:rFonts w:ascii="Arial" w:hAnsi="Arial" w:cs="Arial"/>
          <w:color w:val="000000"/>
          <w:sz w:val="20"/>
          <w:szCs w:val="20"/>
          <w:lang w:val="en-GB"/>
        </w:rPr>
        <w:t xml:space="preserve">ALPHA ASSET MANAGEMENT </w:t>
      </w:r>
      <w:r>
        <w:rPr>
          <w:rFonts w:ascii="Arial" w:hAnsi="Arial" w:cs="Arial"/>
          <w:color w:val="000000"/>
          <w:sz w:val="20"/>
          <w:szCs w:val="20"/>
          <w:lang w:val="en-GB"/>
        </w:rPr>
        <w:t>M.F.M.C.</w:t>
      </w:r>
      <w:r w:rsidRPr="00D238B0">
        <w:rPr>
          <w:rFonts w:ascii="Arial" w:hAnsi="Arial" w:cs="Arial"/>
          <w:color w:val="000000"/>
          <w:sz w:val="20"/>
          <w:szCs w:val="20"/>
          <w:lang w:val="en-GB"/>
        </w:rPr>
        <w:t xml:space="preserve"> announces a capital return with reinvestment into shares of the ALPHA ETF FTSE </w:t>
      </w:r>
      <w:proofErr w:type="spellStart"/>
      <w:r w:rsidRPr="00D238B0">
        <w:rPr>
          <w:rFonts w:ascii="Arial" w:hAnsi="Arial" w:cs="Arial"/>
          <w:color w:val="000000"/>
          <w:sz w:val="20"/>
          <w:szCs w:val="20"/>
          <w:lang w:val="en-GB"/>
        </w:rPr>
        <w:t>Athex</w:t>
      </w:r>
      <w:proofErr w:type="spellEnd"/>
      <w:r w:rsidRPr="00D238B0">
        <w:rPr>
          <w:rFonts w:ascii="Arial" w:hAnsi="Arial" w:cs="Arial"/>
          <w:color w:val="000000"/>
          <w:sz w:val="20"/>
          <w:szCs w:val="20"/>
          <w:lang w:val="en-GB"/>
        </w:rPr>
        <w:t xml:space="preserve"> Large Cap EQUITY UCITS, for all shareholders of record with the Dematerialised Securities System ("DSS" or "SAT") of the Athens </w:t>
      </w:r>
      <w:r w:rsidRPr="009904EC">
        <w:rPr>
          <w:rFonts w:ascii="Arial" w:hAnsi="Arial" w:cs="Arial"/>
          <w:color w:val="000000"/>
          <w:sz w:val="20"/>
          <w:szCs w:val="20"/>
          <w:lang w:val="en-GB"/>
        </w:rPr>
        <w:t xml:space="preserve">Exchange on </w:t>
      </w:r>
      <w:r w:rsidRPr="009904EC">
        <w:rPr>
          <w:rFonts w:ascii="Arial" w:hAnsi="Arial" w:cs="Arial"/>
          <w:color w:val="000000"/>
          <w:sz w:val="20"/>
          <w:szCs w:val="20"/>
          <w:lang w:val="en-US"/>
        </w:rPr>
        <w:t>2</w:t>
      </w:r>
      <w:r w:rsidRPr="009904EC">
        <w:rPr>
          <w:rFonts w:ascii="Arial" w:hAnsi="Arial" w:cs="Arial"/>
          <w:color w:val="000000"/>
          <w:sz w:val="20"/>
          <w:szCs w:val="20"/>
          <w:lang w:val="en-GB"/>
        </w:rPr>
        <w:t xml:space="preserve"> July 2020 (record date) subject to the Mutual Fund price (NAV) exceeding the 1/100 of the </w:t>
      </w:r>
      <w:r w:rsidR="00561BF9" w:rsidRPr="009904EC">
        <w:rPr>
          <w:rFonts w:ascii="Tahoma" w:hAnsi="Tahoma" w:cs="Tahoma"/>
          <w:color w:val="333333"/>
          <w:sz w:val="18"/>
          <w:szCs w:val="18"/>
          <w:shd w:val="clear" w:color="auto" w:fill="FFFFFF"/>
          <w:lang w:val="en-US"/>
        </w:rPr>
        <w:t>Benchmark</w:t>
      </w:r>
      <w:r w:rsidR="00561BF9" w:rsidRPr="009904EC">
        <w:rPr>
          <w:rFonts w:ascii="Tahoma" w:hAnsi="Tahoma" w:cs="Tahoma"/>
          <w:color w:val="333333"/>
          <w:sz w:val="18"/>
          <w:szCs w:val="18"/>
          <w:shd w:val="clear" w:color="auto" w:fill="FFFFFF"/>
        </w:rPr>
        <w:t>΄</w:t>
      </w:r>
      <w:r w:rsidR="00561BF9" w:rsidRPr="009904EC">
        <w:rPr>
          <w:rFonts w:ascii="Tahoma" w:hAnsi="Tahoma" w:cs="Tahoma"/>
          <w:color w:val="333333"/>
          <w:sz w:val="18"/>
          <w:szCs w:val="18"/>
          <w:shd w:val="clear" w:color="auto" w:fill="FFFFFF"/>
          <w:lang w:val="en-US"/>
        </w:rPr>
        <w:t>s</w:t>
      </w:r>
      <w:r w:rsidR="00561BF9">
        <w:rPr>
          <w:rFonts w:ascii="Tahoma" w:hAnsi="Tahoma" w:cs="Tahoma"/>
          <w:color w:val="333333"/>
          <w:sz w:val="18"/>
          <w:szCs w:val="18"/>
          <w:shd w:val="clear" w:color="auto" w:fill="FFFFFF"/>
          <w:lang w:val="en-US"/>
        </w:rPr>
        <w:t xml:space="preserve"> </w:t>
      </w:r>
      <w:r w:rsidRPr="00D238B0">
        <w:rPr>
          <w:rFonts w:ascii="Arial" w:hAnsi="Arial" w:cs="Arial"/>
          <w:color w:val="000000"/>
          <w:sz w:val="20"/>
          <w:szCs w:val="20"/>
          <w:lang w:val="en-GB"/>
        </w:rPr>
        <w:t>price on 30 June 20</w:t>
      </w:r>
      <w:r>
        <w:rPr>
          <w:rFonts w:ascii="Arial" w:hAnsi="Arial" w:cs="Arial"/>
          <w:color w:val="000000"/>
          <w:sz w:val="20"/>
          <w:szCs w:val="20"/>
          <w:lang w:val="en-GB"/>
        </w:rPr>
        <w:t>20</w:t>
      </w:r>
      <w:r w:rsidRPr="00D238B0">
        <w:rPr>
          <w:rFonts w:ascii="Arial" w:hAnsi="Arial" w:cs="Arial"/>
          <w:color w:val="000000"/>
          <w:sz w:val="20"/>
          <w:szCs w:val="20"/>
          <w:lang w:val="en-GB"/>
        </w:rPr>
        <w:t>. The amount of capital to be returned and the value per share will be calculated at the end-of-day of 30 June 20</w:t>
      </w:r>
      <w:r>
        <w:rPr>
          <w:rFonts w:ascii="Arial" w:hAnsi="Arial" w:cs="Arial"/>
          <w:color w:val="000000"/>
          <w:sz w:val="20"/>
          <w:szCs w:val="20"/>
          <w:lang w:val="en-GB"/>
        </w:rPr>
        <w:t>20</w:t>
      </w:r>
      <w:r w:rsidRPr="00D238B0">
        <w:rPr>
          <w:rFonts w:ascii="Arial" w:hAnsi="Arial" w:cs="Arial"/>
          <w:color w:val="000000"/>
          <w:sz w:val="20"/>
          <w:szCs w:val="20"/>
          <w:lang w:val="en-GB"/>
        </w:rPr>
        <w:t>.</w:t>
      </w:r>
      <w:r>
        <w:rPr>
          <w:rFonts w:ascii="Arial" w:hAnsi="Arial" w:cs="Arial"/>
          <w:color w:val="000000"/>
          <w:sz w:val="20"/>
          <w:szCs w:val="20"/>
          <w:lang w:val="en-GB"/>
        </w:rPr>
        <w:t xml:space="preserve"> </w:t>
      </w:r>
      <w:r w:rsidRPr="00D238B0">
        <w:rPr>
          <w:rFonts w:ascii="Arial" w:hAnsi="Arial" w:cs="Arial"/>
          <w:color w:val="000000"/>
          <w:sz w:val="20"/>
          <w:szCs w:val="20"/>
          <w:lang w:val="en-GB"/>
        </w:rPr>
        <w:t xml:space="preserve">As of </w:t>
      </w:r>
      <w:r>
        <w:rPr>
          <w:rFonts w:ascii="Arial" w:hAnsi="Arial" w:cs="Arial"/>
          <w:color w:val="000000"/>
          <w:sz w:val="20"/>
          <w:szCs w:val="20"/>
          <w:lang w:val="en-US"/>
        </w:rPr>
        <w:t>1</w:t>
      </w:r>
      <w:r w:rsidRPr="00D238B0">
        <w:rPr>
          <w:rFonts w:ascii="Arial" w:hAnsi="Arial" w:cs="Arial"/>
          <w:color w:val="000000"/>
          <w:sz w:val="20"/>
          <w:szCs w:val="20"/>
          <w:lang w:val="en-GB"/>
        </w:rPr>
        <w:t xml:space="preserve"> July 20</w:t>
      </w:r>
      <w:r>
        <w:rPr>
          <w:rFonts w:ascii="Arial" w:hAnsi="Arial" w:cs="Arial"/>
          <w:color w:val="000000"/>
          <w:sz w:val="20"/>
          <w:szCs w:val="20"/>
          <w:lang w:val="en-GB"/>
        </w:rPr>
        <w:t>20</w:t>
      </w:r>
      <w:r w:rsidRPr="00D238B0">
        <w:rPr>
          <w:rFonts w:ascii="Arial" w:hAnsi="Arial" w:cs="Arial"/>
          <w:color w:val="000000"/>
          <w:sz w:val="20"/>
          <w:szCs w:val="20"/>
          <w:lang w:val="en-GB"/>
        </w:rPr>
        <w:t xml:space="preserve">, the ETF's shares will trade in the Athens Exchange at a price reduced by the amount of capital returned and without the right to the capital return. The reinvestment of capital will be completed on </w:t>
      </w:r>
      <w:r>
        <w:rPr>
          <w:rFonts w:ascii="Arial" w:hAnsi="Arial" w:cs="Arial"/>
          <w:color w:val="000000"/>
          <w:sz w:val="20"/>
          <w:szCs w:val="20"/>
          <w:lang w:val="en-GB"/>
        </w:rPr>
        <w:t>3</w:t>
      </w:r>
      <w:r w:rsidRPr="00D238B0">
        <w:rPr>
          <w:rFonts w:ascii="Arial" w:hAnsi="Arial" w:cs="Arial"/>
          <w:color w:val="000000"/>
          <w:sz w:val="20"/>
          <w:szCs w:val="20"/>
          <w:lang w:val="en-GB"/>
        </w:rPr>
        <w:t xml:space="preserve"> July 20</w:t>
      </w:r>
      <w:r>
        <w:rPr>
          <w:rFonts w:ascii="Arial" w:hAnsi="Arial" w:cs="Arial"/>
          <w:color w:val="000000"/>
          <w:sz w:val="20"/>
          <w:szCs w:val="20"/>
          <w:lang w:val="en-GB"/>
        </w:rPr>
        <w:t>20</w:t>
      </w:r>
      <w:r w:rsidRPr="00D238B0">
        <w:rPr>
          <w:rFonts w:ascii="Arial" w:hAnsi="Arial" w:cs="Arial"/>
          <w:color w:val="000000"/>
          <w:sz w:val="20"/>
          <w:szCs w:val="20"/>
          <w:lang w:val="en-GB"/>
        </w:rPr>
        <w:t xml:space="preserve"> and the number of new shares will be calculated based on the ETF's closing price (NAV) as of that date. Any fractional shares will be returned to shareholders in cash. </w:t>
      </w:r>
      <w:r w:rsidRPr="00D238B0">
        <w:rPr>
          <w:rFonts w:ascii="Arial" w:hAnsi="Arial" w:cs="Arial"/>
          <w:color w:val="000000"/>
          <w:sz w:val="20"/>
          <w:szCs w:val="20"/>
          <w:lang w:val="en-GB"/>
        </w:rPr>
        <w:br/>
      </w:r>
      <w:r w:rsidRPr="00D238B0">
        <w:rPr>
          <w:rFonts w:ascii="Arial" w:hAnsi="Arial" w:cs="Arial"/>
          <w:color w:val="000000"/>
          <w:sz w:val="20"/>
          <w:szCs w:val="20"/>
          <w:lang w:val="en-GB"/>
        </w:rPr>
        <w:br/>
        <w:t xml:space="preserve">The fund's new shares will be listed in the Athens Exchange on </w:t>
      </w:r>
      <w:r>
        <w:rPr>
          <w:rFonts w:ascii="Arial" w:hAnsi="Arial" w:cs="Arial"/>
          <w:color w:val="000000"/>
          <w:sz w:val="20"/>
          <w:szCs w:val="20"/>
          <w:lang w:val="en-US"/>
        </w:rPr>
        <w:t>6</w:t>
      </w:r>
      <w:r w:rsidRPr="00D238B0">
        <w:rPr>
          <w:rFonts w:ascii="Arial" w:hAnsi="Arial" w:cs="Arial"/>
          <w:color w:val="000000"/>
          <w:sz w:val="20"/>
          <w:szCs w:val="20"/>
          <w:lang w:val="en-GB"/>
        </w:rPr>
        <w:t xml:space="preserve"> July 20</w:t>
      </w:r>
      <w:r>
        <w:rPr>
          <w:rFonts w:ascii="Arial" w:hAnsi="Arial" w:cs="Arial"/>
          <w:color w:val="000000"/>
          <w:sz w:val="20"/>
          <w:szCs w:val="20"/>
          <w:lang w:val="en-GB"/>
        </w:rPr>
        <w:t>20</w:t>
      </w:r>
      <w:r w:rsidRPr="00D238B0">
        <w:rPr>
          <w:rFonts w:ascii="Arial" w:hAnsi="Arial" w:cs="Arial"/>
          <w:color w:val="000000"/>
          <w:sz w:val="20"/>
          <w:szCs w:val="20"/>
          <w:lang w:val="en-GB"/>
        </w:rPr>
        <w:t>, at which date shareholders will be credited with the a</w:t>
      </w:r>
      <w:bookmarkStart w:id="0" w:name="_GoBack"/>
      <w:bookmarkEnd w:id="0"/>
      <w:r w:rsidRPr="00D238B0">
        <w:rPr>
          <w:rFonts w:ascii="Arial" w:hAnsi="Arial" w:cs="Arial"/>
          <w:color w:val="000000"/>
          <w:sz w:val="20"/>
          <w:szCs w:val="20"/>
          <w:lang w:val="en-GB"/>
        </w:rPr>
        <w:t>dditional shares.</w:t>
      </w:r>
      <w:r w:rsidRPr="00D238B0">
        <w:rPr>
          <w:rFonts w:ascii="Arial" w:hAnsi="Arial" w:cs="Arial"/>
          <w:color w:val="000000"/>
          <w:sz w:val="20"/>
          <w:szCs w:val="20"/>
          <w:lang w:val="en-GB"/>
        </w:rPr>
        <w:br/>
        <w:t>As of 1</w:t>
      </w:r>
      <w:r>
        <w:rPr>
          <w:rFonts w:ascii="Arial" w:hAnsi="Arial" w:cs="Arial"/>
          <w:color w:val="000000"/>
          <w:sz w:val="20"/>
          <w:szCs w:val="20"/>
          <w:lang w:val="en-GB"/>
        </w:rPr>
        <w:t>0</w:t>
      </w:r>
      <w:r w:rsidRPr="00D238B0">
        <w:rPr>
          <w:rFonts w:ascii="Arial" w:hAnsi="Arial" w:cs="Arial"/>
          <w:color w:val="000000"/>
          <w:sz w:val="20"/>
          <w:szCs w:val="20"/>
          <w:lang w:val="en-GB"/>
        </w:rPr>
        <w:t xml:space="preserve"> July 20</w:t>
      </w:r>
      <w:r>
        <w:rPr>
          <w:rFonts w:ascii="Arial" w:hAnsi="Arial" w:cs="Arial"/>
          <w:color w:val="000000"/>
          <w:sz w:val="20"/>
          <w:szCs w:val="20"/>
          <w:lang w:val="en-GB"/>
        </w:rPr>
        <w:t>20</w:t>
      </w:r>
      <w:r w:rsidRPr="00D238B0">
        <w:rPr>
          <w:rFonts w:ascii="Arial" w:hAnsi="Arial" w:cs="Arial"/>
          <w:color w:val="000000"/>
          <w:sz w:val="20"/>
          <w:szCs w:val="20"/>
          <w:lang w:val="en-GB"/>
        </w:rPr>
        <w:t>, the cash will be paid to shareholders through</w:t>
      </w:r>
      <w:r w:rsidRPr="00151302">
        <w:rPr>
          <w:rFonts w:ascii="Arial" w:hAnsi="Arial" w:cs="Arial"/>
          <w:color w:val="000000"/>
          <w:sz w:val="20"/>
          <w:szCs w:val="20"/>
          <w:lang w:val="en-GB"/>
        </w:rPr>
        <w:t xml:space="preserve"> Alpha Bank in the following ways: </w:t>
      </w:r>
      <w:r w:rsidRPr="00151302">
        <w:rPr>
          <w:rFonts w:ascii="Arial" w:hAnsi="Arial" w:cs="Arial"/>
          <w:color w:val="000000"/>
          <w:sz w:val="20"/>
          <w:szCs w:val="20"/>
          <w:lang w:val="en-GB"/>
        </w:rPr>
        <w:br/>
      </w:r>
      <w:r w:rsidRPr="00151302">
        <w:rPr>
          <w:rFonts w:ascii="Arial" w:hAnsi="Arial" w:cs="Arial"/>
          <w:color w:val="000000"/>
          <w:sz w:val="20"/>
          <w:szCs w:val="20"/>
          <w:lang w:val="en-GB"/>
        </w:rPr>
        <w:br/>
        <w:t xml:space="preserve">1. Through the Operators of the Greek Dematerialised Securities System (DSS/SAT), provided they have been authorised by the shareholder to receive such payment. </w:t>
      </w:r>
      <w:r w:rsidRPr="00151302">
        <w:rPr>
          <w:rFonts w:ascii="Arial" w:hAnsi="Arial" w:cs="Arial"/>
          <w:color w:val="000000"/>
          <w:sz w:val="20"/>
          <w:szCs w:val="20"/>
          <w:lang w:val="en-GB"/>
        </w:rPr>
        <w:br/>
        <w:t>2. Through the Alpha Bank Branch Network for those shareholders that have not authorised their DSS/SAT Operators to collect the amount</w:t>
      </w:r>
      <w:r w:rsidRPr="00D829A4">
        <w:rPr>
          <w:rFonts w:ascii="Arial" w:hAnsi="Arial" w:cs="Arial"/>
          <w:color w:val="000000"/>
          <w:sz w:val="20"/>
          <w:szCs w:val="20"/>
          <w:lang w:val="en-GB"/>
        </w:rPr>
        <w:t>, or their shares are held by the Hellenic Central Securities Depository S.A. Shareholders m</w:t>
      </w:r>
      <w:r w:rsidRPr="00151302">
        <w:rPr>
          <w:rFonts w:ascii="Arial" w:hAnsi="Arial" w:cs="Arial"/>
          <w:color w:val="000000"/>
          <w:sz w:val="20"/>
          <w:szCs w:val="20"/>
          <w:lang w:val="en-GB"/>
        </w:rPr>
        <w:t>ay collect the money from the Alpha Bank Branches by presenting their Identity Card along with a copy of their DSS/SAT record. A payment to a third person will require the presentation of a Letter of Delegation with all the required personal information of both the shareholder and the authorised person (name, surname, Identity Card Number, Tax Registration Number). The Letter of Delegation must have a signature authenticated by a Greek police station or other relevant authority.</w:t>
      </w:r>
      <w:r w:rsidRPr="00151302">
        <w:rPr>
          <w:rFonts w:ascii="Arial" w:hAnsi="Arial" w:cs="Arial"/>
          <w:color w:val="000000"/>
          <w:sz w:val="20"/>
          <w:szCs w:val="20"/>
          <w:lang w:val="en-GB"/>
        </w:rPr>
        <w:br/>
      </w:r>
      <w:r w:rsidRPr="00151302">
        <w:rPr>
          <w:rFonts w:ascii="Arial" w:hAnsi="Arial" w:cs="Arial"/>
          <w:color w:val="000000"/>
          <w:sz w:val="20"/>
          <w:szCs w:val="20"/>
          <w:lang w:val="en-GB"/>
        </w:rPr>
        <w:br/>
        <w:t xml:space="preserve">For any additional information shareholders may contact ALPHA ASSET MANAGEMENT </w:t>
      </w:r>
      <w:r>
        <w:rPr>
          <w:rFonts w:ascii="Arial" w:hAnsi="Arial" w:cs="Arial"/>
          <w:color w:val="000000"/>
          <w:sz w:val="20"/>
          <w:szCs w:val="20"/>
          <w:lang w:val="en-GB"/>
        </w:rPr>
        <w:t>M.F.M.C.</w:t>
      </w:r>
      <w:r w:rsidRPr="00151302">
        <w:rPr>
          <w:rFonts w:ascii="Arial" w:hAnsi="Arial" w:cs="Arial"/>
          <w:color w:val="000000"/>
          <w:sz w:val="20"/>
          <w:szCs w:val="20"/>
          <w:lang w:val="en-GB"/>
        </w:rPr>
        <w:t xml:space="preserve"> </w:t>
      </w:r>
      <w:r w:rsidR="0093323E" w:rsidRPr="009904EC">
        <w:rPr>
          <w:rFonts w:ascii="Arial" w:hAnsi="Arial" w:cs="Arial"/>
          <w:color w:val="000000"/>
          <w:sz w:val="20"/>
          <w:szCs w:val="20"/>
          <w:lang w:val="en-GB"/>
        </w:rPr>
        <w:t>to</w:t>
      </w:r>
      <w:r w:rsidRPr="009904EC">
        <w:rPr>
          <w:rFonts w:ascii="Arial" w:hAnsi="Arial" w:cs="Arial"/>
          <w:color w:val="000000"/>
          <w:sz w:val="20"/>
          <w:szCs w:val="20"/>
          <w:lang w:val="en-GB"/>
        </w:rPr>
        <w:t xml:space="preserve"> the</w:t>
      </w:r>
      <w:r w:rsidRPr="00151302">
        <w:rPr>
          <w:rFonts w:ascii="Arial" w:hAnsi="Arial" w:cs="Arial"/>
          <w:color w:val="000000"/>
          <w:sz w:val="20"/>
          <w:szCs w:val="20"/>
          <w:lang w:val="en-GB"/>
        </w:rPr>
        <w:t xml:space="preserve"> telephone numbers +30 210 </w:t>
      </w:r>
      <w:r>
        <w:rPr>
          <w:rFonts w:ascii="Arial" w:hAnsi="Arial" w:cs="Arial"/>
          <w:color w:val="000000"/>
          <w:sz w:val="20"/>
          <w:szCs w:val="20"/>
          <w:lang w:val="en-GB"/>
        </w:rPr>
        <w:t>374 2871-72</w:t>
      </w:r>
      <w:r w:rsidRPr="00151302">
        <w:rPr>
          <w:rFonts w:ascii="Arial" w:hAnsi="Arial" w:cs="Arial"/>
          <w:color w:val="000000"/>
          <w:sz w:val="20"/>
          <w:szCs w:val="20"/>
          <w:lang w:val="en-GB"/>
        </w:rPr>
        <w:t>.</w:t>
      </w:r>
    </w:p>
    <w:p w:rsidR="004D3E13" w:rsidRPr="00151302" w:rsidRDefault="004D3E13" w:rsidP="004D3E13">
      <w:pPr>
        <w:tabs>
          <w:tab w:val="left" w:pos="1365"/>
        </w:tabs>
        <w:rPr>
          <w:rFonts w:ascii="Arial" w:hAnsi="Arial" w:cs="Arial"/>
          <w:sz w:val="20"/>
          <w:szCs w:val="20"/>
          <w:lang w:val="en-US"/>
        </w:rPr>
      </w:pPr>
      <w:r w:rsidRPr="00151302">
        <w:rPr>
          <w:rFonts w:ascii="Arial" w:hAnsi="Arial" w:cs="Arial"/>
          <w:color w:val="000000"/>
          <w:sz w:val="20"/>
          <w:szCs w:val="20"/>
          <w:lang w:val="en-GB"/>
        </w:rPr>
        <w:br/>
      </w:r>
      <w:r w:rsidRPr="00151302">
        <w:rPr>
          <w:rFonts w:ascii="Arial" w:hAnsi="Arial" w:cs="Arial"/>
          <w:color w:val="000000"/>
          <w:sz w:val="20"/>
          <w:szCs w:val="20"/>
          <w:lang w:val="en-GB"/>
        </w:rPr>
        <w:br/>
      </w:r>
      <w:r w:rsidRPr="00151302">
        <w:rPr>
          <w:rFonts w:ascii="Arial" w:hAnsi="Arial" w:cs="Arial"/>
          <w:color w:val="000000"/>
          <w:sz w:val="20"/>
          <w:szCs w:val="20"/>
          <w:lang w:val="en-GB"/>
        </w:rPr>
        <w:br/>
      </w:r>
      <w:r w:rsidRPr="00151302">
        <w:rPr>
          <w:rFonts w:ascii="Arial" w:hAnsi="Arial" w:cs="Arial"/>
          <w:color w:val="000000"/>
          <w:sz w:val="20"/>
          <w:szCs w:val="20"/>
          <w:lang w:val="en-US"/>
        </w:rPr>
        <w:t xml:space="preserve">ALPHA ASSET MANAGEMENT </w:t>
      </w:r>
      <w:r>
        <w:rPr>
          <w:rFonts w:ascii="Arial" w:hAnsi="Arial" w:cs="Arial"/>
          <w:color w:val="000000"/>
          <w:sz w:val="20"/>
          <w:szCs w:val="20"/>
          <w:lang w:val="en-US"/>
        </w:rPr>
        <w:t>M.F.M.C.</w:t>
      </w:r>
    </w:p>
    <w:p w:rsidR="00C56E7A" w:rsidRPr="004D3E13" w:rsidRDefault="00C56E7A">
      <w:pPr>
        <w:rPr>
          <w:lang w:val="en-US"/>
        </w:rPr>
      </w:pPr>
    </w:p>
    <w:sectPr w:rsidR="00C56E7A" w:rsidRPr="004D3E13" w:rsidSect="00332D8B">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5BB" w:rsidRDefault="00A965BB" w:rsidP="00041216">
      <w:r>
        <w:separator/>
      </w:r>
    </w:p>
  </w:endnote>
  <w:endnote w:type="continuationSeparator" w:id="0">
    <w:p w:rsidR="00A965BB" w:rsidRDefault="00A965BB" w:rsidP="0004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5BB" w:rsidRDefault="00A965BB" w:rsidP="00041216">
      <w:r>
        <w:separator/>
      </w:r>
    </w:p>
  </w:footnote>
  <w:footnote w:type="continuationSeparator" w:id="0">
    <w:p w:rsidR="00A965BB" w:rsidRDefault="00A965BB" w:rsidP="00041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216" w:rsidRDefault="00041216" w:rsidP="006C543D">
    <w:pPr>
      <w:pStyle w:val="Header"/>
      <w:ind w:left="-1276"/>
    </w:pPr>
    <w:r>
      <w:rPr>
        <w:noProof/>
        <w:lang w:eastAsia="el-GR"/>
      </w:rPr>
      <w:drawing>
        <wp:inline distT="0" distB="0" distL="0" distR="0">
          <wp:extent cx="3552119" cy="799719"/>
          <wp:effectExtent l="0" t="0" r="0" b="635"/>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PHA ASSET MANAGEMENT MFMC logo_1-4_4c-ENG_2_CROPED.jpg"/>
                  <pic:cNvPicPr/>
                </pic:nvPicPr>
                <pic:blipFill>
                  <a:blip r:embed="rId1">
                    <a:extLst>
                      <a:ext uri="{28A0092B-C50C-407E-A947-70E740481C1C}">
                        <a14:useLocalDpi xmlns:a14="http://schemas.microsoft.com/office/drawing/2010/main" val="0"/>
                      </a:ext>
                    </a:extLst>
                  </a:blip>
                  <a:stretch>
                    <a:fillRect/>
                  </a:stretch>
                </pic:blipFill>
                <pic:spPr>
                  <a:xfrm>
                    <a:off x="0" y="0"/>
                    <a:ext cx="3702883" cy="8336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16"/>
    <w:rsid w:val="00041216"/>
    <w:rsid w:val="002C5085"/>
    <w:rsid w:val="00332D8B"/>
    <w:rsid w:val="004D3E13"/>
    <w:rsid w:val="00561BF9"/>
    <w:rsid w:val="006C543D"/>
    <w:rsid w:val="00902064"/>
    <w:rsid w:val="0093323E"/>
    <w:rsid w:val="009904EC"/>
    <w:rsid w:val="00A965BB"/>
    <w:rsid w:val="00C56E7A"/>
    <w:rsid w:val="00E2652A"/>
    <w:rsid w:val="00E73231"/>
    <w:rsid w:val="00ED08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8981763-FAA3-41F1-AB93-A1C7E35E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E13"/>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216"/>
    <w:pPr>
      <w:tabs>
        <w:tab w:val="center" w:pos="4153"/>
        <w:tab w:val="right" w:pos="8306"/>
      </w:tabs>
    </w:pPr>
    <w:rPr>
      <w:rFonts w:ascii="Arial" w:eastAsiaTheme="minorHAnsi" w:hAnsi="Arial" w:cstheme="minorBidi"/>
      <w:sz w:val="22"/>
      <w:szCs w:val="22"/>
      <w:lang w:eastAsia="en-US"/>
    </w:rPr>
  </w:style>
  <w:style w:type="character" w:customStyle="1" w:styleId="HeaderChar">
    <w:name w:val="Header Char"/>
    <w:basedOn w:val="DefaultParagraphFont"/>
    <w:link w:val="Header"/>
    <w:uiPriority w:val="99"/>
    <w:rsid w:val="00041216"/>
  </w:style>
  <w:style w:type="paragraph" w:styleId="Footer">
    <w:name w:val="footer"/>
    <w:basedOn w:val="Normal"/>
    <w:link w:val="FooterChar"/>
    <w:uiPriority w:val="99"/>
    <w:unhideWhenUsed/>
    <w:rsid w:val="00041216"/>
    <w:pPr>
      <w:tabs>
        <w:tab w:val="center" w:pos="4153"/>
        <w:tab w:val="right" w:pos="8306"/>
      </w:tabs>
    </w:pPr>
    <w:rPr>
      <w:rFonts w:ascii="Arial" w:eastAsiaTheme="minorHAnsi" w:hAnsi="Arial" w:cstheme="minorBidi"/>
      <w:sz w:val="22"/>
      <w:szCs w:val="22"/>
      <w:lang w:eastAsia="en-US"/>
    </w:rPr>
  </w:style>
  <w:style w:type="character" w:customStyle="1" w:styleId="FooterChar">
    <w:name w:val="Footer Char"/>
    <w:basedOn w:val="DefaultParagraphFont"/>
    <w:link w:val="Footer"/>
    <w:uiPriority w:val="99"/>
    <w:rsid w:val="00041216"/>
  </w:style>
  <w:style w:type="paragraph" w:styleId="BodyText2">
    <w:name w:val="Body Text 2"/>
    <w:basedOn w:val="Normal"/>
    <w:link w:val="BodyText2Char"/>
    <w:uiPriority w:val="99"/>
    <w:rsid w:val="004D3E13"/>
    <w:pPr>
      <w:jc w:val="both"/>
    </w:pPr>
  </w:style>
  <w:style w:type="character" w:customStyle="1" w:styleId="BodyText2Char">
    <w:name w:val="Body Text 2 Char"/>
    <w:basedOn w:val="DefaultParagraphFont"/>
    <w:link w:val="BodyText2"/>
    <w:uiPriority w:val="99"/>
    <w:rsid w:val="004D3E13"/>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ED081A"/>
    <w:rPr>
      <w:rFonts w:ascii="Tahoma" w:hAnsi="Tahoma" w:cs="Tahoma"/>
      <w:sz w:val="16"/>
      <w:szCs w:val="16"/>
    </w:rPr>
  </w:style>
  <w:style w:type="character" w:customStyle="1" w:styleId="BalloonTextChar">
    <w:name w:val="Balloon Text Char"/>
    <w:basedOn w:val="DefaultParagraphFont"/>
    <w:link w:val="BalloonText"/>
    <w:uiPriority w:val="99"/>
    <w:semiHidden/>
    <w:rsid w:val="00ED081A"/>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ΡΟΥΣΣΟΣ Γ. ΒΑΣΙΛΕΙΟΣ</dc:creator>
  <cp:keywords/>
  <dc:description/>
  <cp:lastModifiedBy>ΚΟΥΤΣΙΟΥΜΑΡΗΣ Γ. ΜΑΡΙΝΟΣ</cp:lastModifiedBy>
  <cp:revision>2</cp:revision>
  <dcterms:created xsi:type="dcterms:W3CDTF">2020-06-25T07:32:00Z</dcterms:created>
  <dcterms:modified xsi:type="dcterms:W3CDTF">2020-06-25T07:32:00Z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