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05" w:rsidRDefault="00B55505">
      <w:pPr>
        <w:pStyle w:val="Header"/>
        <w:tabs>
          <w:tab w:val="clear" w:pos="4153"/>
          <w:tab w:val="clear" w:pos="8306"/>
        </w:tabs>
        <w:ind w:left="-850" w:right="-850"/>
        <w:jc w:val="both"/>
        <w:rPr>
          <w:rFonts w:ascii="Tahoma" w:hAnsi="Tahoma" w:cs="Tahoma"/>
          <w:sz w:val="8"/>
          <w:szCs w:val="8"/>
          <w:lang w:val="el-GR"/>
        </w:rPr>
      </w:pPr>
    </w:p>
    <w:p w:rsidR="00B55505" w:rsidRDefault="00B55505">
      <w:pPr>
        <w:pStyle w:val="Header"/>
        <w:tabs>
          <w:tab w:val="clear" w:pos="4153"/>
          <w:tab w:val="clear" w:pos="8306"/>
        </w:tabs>
        <w:ind w:left="-850" w:right="-850"/>
        <w:jc w:val="both"/>
        <w:rPr>
          <w:rFonts w:ascii="Tahoma" w:hAnsi="Tahoma" w:cs="Tahoma"/>
          <w:sz w:val="16"/>
          <w:szCs w:val="16"/>
          <w:lang w:val="el-GR"/>
        </w:rPr>
        <w:sectPr w:rsidR="00B55505">
          <w:headerReference w:type="default" r:id="rId7"/>
          <w:footerReference w:type="default" r:id="rId8"/>
          <w:headerReference w:type="first" r:id="rId9"/>
          <w:footerReference w:type="first" r:id="rId10"/>
          <w:pgSz w:w="11906" w:h="16838" w:code="9"/>
          <w:pgMar w:top="1440" w:right="1800" w:bottom="864" w:left="1800" w:header="706" w:footer="259" w:gutter="0"/>
          <w:cols w:space="708"/>
          <w:titlePg/>
          <w:docGrid w:linePitch="360"/>
        </w:sectPr>
      </w:pPr>
    </w:p>
    <w:p w:rsidR="00B55505" w:rsidRPr="00953549" w:rsidRDefault="00B55505" w:rsidP="000E0A29">
      <w:pPr>
        <w:spacing w:before="100" w:beforeAutospacing="1" w:after="100" w:afterAutospacing="1"/>
        <w:jc w:val="center"/>
        <w:rPr>
          <w:rFonts w:ascii="Calibri" w:hAnsi="Calibri" w:cs="Calibri"/>
          <w:b/>
          <w:bCs/>
          <w:lang w:val="el-GR" w:eastAsia="el-GR"/>
        </w:rPr>
      </w:pPr>
      <w:r w:rsidRPr="00953549">
        <w:rPr>
          <w:rFonts w:ascii="Calibri" w:hAnsi="Calibri" w:cs="Calibri"/>
          <w:b/>
          <w:bCs/>
          <w:lang w:val="el-GR" w:eastAsia="el-GR"/>
        </w:rPr>
        <w:t>ΑΒΑΞ ΑΝΩΝΥΜΗ ΕΤΑΙΡΕΙΑ - ΕΡΓΟΛΗΠΤΙΚΗ - ΤΟΥΡΙΣΤΙΚΗ – ΕΜΠΟΡΙΚΗ - ΒΙΟΜΗΧΑΝΙΚΗ – ΟΙΚΟΔΟΜΙΚΩΝ ΥΛΙΚΩΝ ΚΑΙ ΜΗΧΑΝΗΜΑΤΩΝ</w:t>
      </w:r>
    </w:p>
    <w:p w:rsidR="00B55505" w:rsidRPr="00953549" w:rsidRDefault="00B55505" w:rsidP="00953549">
      <w:pPr>
        <w:spacing w:before="100" w:beforeAutospacing="1" w:after="100" w:afterAutospacing="1"/>
        <w:jc w:val="center"/>
        <w:rPr>
          <w:rFonts w:ascii="Calibri" w:hAnsi="Calibri" w:cs="Calibri"/>
          <w:b/>
          <w:bCs/>
          <w:lang w:val="el-GR" w:eastAsia="el-GR"/>
        </w:rPr>
      </w:pPr>
      <w:r w:rsidRPr="00953549">
        <w:rPr>
          <w:rFonts w:ascii="Calibri" w:hAnsi="Calibri" w:cs="Calibri"/>
          <w:b/>
          <w:bCs/>
          <w:lang w:val="el-GR" w:eastAsia="el-GR"/>
        </w:rPr>
        <w:t>ΑΝΑΚΟΙΝΩΣΗ ΔΙΑΘΕΣΗΣ ΕΝΗΜΕΡΩΤΙΚΟΥ ΔΕΛΤΙΟΥ</w:t>
      </w:r>
    </w:p>
    <w:p w:rsidR="00B55505" w:rsidRPr="00953549" w:rsidRDefault="00B55505" w:rsidP="00953549">
      <w:pPr>
        <w:spacing w:before="100" w:beforeAutospacing="1" w:after="240"/>
        <w:jc w:val="both"/>
        <w:rPr>
          <w:rFonts w:ascii="Calibri" w:hAnsi="Calibri" w:cs="Arial"/>
          <w:highlight w:val="yellow"/>
          <w:lang w:val="el-GR"/>
        </w:rPr>
      </w:pPr>
      <w:r w:rsidRPr="00953549">
        <w:rPr>
          <w:rFonts w:ascii="Calibri" w:hAnsi="Calibri" w:cs="Arial"/>
          <w:lang w:val="el-GR"/>
        </w:rPr>
        <w:t>Η «</w:t>
      </w:r>
      <w:r w:rsidRPr="00953549">
        <w:rPr>
          <w:rFonts w:ascii="Calibri" w:hAnsi="Calibri" w:cs="Arial"/>
          <w:b/>
          <w:bCs/>
          <w:lang w:val="el-GR"/>
        </w:rPr>
        <w:t>ΑΒΑΞ ΑΝΩΝΥΜΗ ΕΤΑΙΡΕΙΑ - ΕΡΓΟΛΗΠΤΙΚΗ - ΤΟΥΡΙΣΤΙΚΗ – ΕΜΠΟΡΙΚΗ - ΒΙΟΜΗΧΑΝΙΚΗ – ΟΙΚΟΔΟΜΙΚΩΝ ΥΛΙΚΩΝ ΚΑΙ ΜΗΧΑΝΗΜΑΤΩΝ</w:t>
      </w:r>
      <w:r w:rsidRPr="00953549">
        <w:rPr>
          <w:rFonts w:ascii="Calibri" w:hAnsi="Calibri" w:cs="Arial"/>
          <w:lang w:val="el-GR"/>
        </w:rPr>
        <w:t>» (εφεξής η «</w:t>
      </w:r>
      <w:r w:rsidRPr="00953549">
        <w:rPr>
          <w:rFonts w:ascii="Calibri" w:hAnsi="Calibri" w:cs="Arial"/>
          <w:b/>
          <w:bCs/>
          <w:lang w:val="el-GR"/>
        </w:rPr>
        <w:t>Εταιρεία</w:t>
      </w:r>
      <w:r w:rsidRPr="00953549">
        <w:rPr>
          <w:rFonts w:ascii="Calibri" w:hAnsi="Calibri" w:cs="Arial"/>
          <w:lang w:val="el-GR"/>
        </w:rPr>
        <w:t>») ανακοινώνει, σύμφωνα με τον κατ’ εξουσιοδότηση Κανονισμό 2016/301 της Επιτροπής των Ευρωπαϊκών Κοινοτήτων και το ν.3401/2005, όπως ισχύουν, ότι από την 21.01.2020 θέτει στη διάθεση του επενδυτικού κοινού το εγκριθέν δυνάμει της από 20.01.2020 συνεδρίασης του Διοικητικού Συμβουλίου της Επιτροπής Κεφαλαιαγοράς Ενημερωτικό Δελτίο αναφορικά με τη δημόσια προσφορά των 66.666.666 νέων, κοινών, μετά ψήφου ονομαστικών μετοχών της (εφεξής οι «</w:t>
      </w:r>
      <w:r w:rsidRPr="00953549">
        <w:rPr>
          <w:rFonts w:ascii="Calibri" w:hAnsi="Calibri" w:cs="Arial"/>
          <w:b/>
          <w:lang w:val="el-GR"/>
        </w:rPr>
        <w:t>Νέες Μετοχές</w:t>
      </w:r>
      <w:r w:rsidRPr="00953549">
        <w:rPr>
          <w:rFonts w:ascii="Calibri" w:hAnsi="Calibri" w:cs="Arial"/>
          <w:lang w:val="el-GR"/>
        </w:rPr>
        <w:t>»), που θα εκδοθούν στο πλαίσιο της αύξησης του μετοχικού της κεφαλαίου με καταβολή μετρητών και με δικαίωμα προτίμησης υπέρ των παλαιών μετόχων και θα εισαχθούν προς διαπραγμάτευση στη Ρυθμιζόμενη Αγορά του Χρηματιστηρίου Αθηνών (εφεξής το «</w:t>
      </w:r>
      <w:r w:rsidRPr="00953549">
        <w:rPr>
          <w:rFonts w:ascii="Calibri" w:hAnsi="Calibri" w:cs="Arial"/>
          <w:b/>
          <w:lang w:val="el-GR"/>
        </w:rPr>
        <w:t>Χ.Α.</w:t>
      </w:r>
      <w:r w:rsidRPr="00953549">
        <w:rPr>
          <w:rFonts w:ascii="Calibri" w:hAnsi="Calibri" w:cs="Arial"/>
          <w:lang w:val="el-GR"/>
        </w:rPr>
        <w:t>»), σύμφωνα με την από 26.09.2019 απόφαση της Έκτακτης Γενικής Συνέλευσης των μετόχων της Εταιρείας, σε συνδυασμό με την από 15.01.2020 απόφαση του  Διοικητικού Συμβουλίου της Εταιρείας (εφεξής η «</w:t>
      </w:r>
      <w:r w:rsidRPr="00953549">
        <w:rPr>
          <w:rFonts w:ascii="Calibri" w:hAnsi="Calibri" w:cs="Arial"/>
          <w:b/>
          <w:lang w:val="el-GR"/>
        </w:rPr>
        <w:t>Αύξηση</w:t>
      </w:r>
      <w:r w:rsidRPr="00953549">
        <w:rPr>
          <w:rFonts w:ascii="Calibri" w:hAnsi="Calibri" w:cs="Arial"/>
          <w:lang w:val="el-GR"/>
        </w:rPr>
        <w:t>»).</w:t>
      </w:r>
    </w:p>
    <w:p w:rsidR="00B55505" w:rsidRPr="00953549" w:rsidRDefault="00B55505" w:rsidP="00953549">
      <w:pPr>
        <w:spacing w:before="100" w:beforeAutospacing="1" w:after="240"/>
        <w:jc w:val="both"/>
        <w:rPr>
          <w:rFonts w:ascii="Calibri" w:hAnsi="Calibri" w:cs="Arial"/>
          <w:lang w:val="el-GR"/>
        </w:rPr>
      </w:pPr>
      <w:r w:rsidRPr="00953549">
        <w:rPr>
          <w:rFonts w:ascii="Calibri" w:hAnsi="Calibri" w:cs="Arial"/>
          <w:lang w:val="el-GR"/>
        </w:rPr>
        <w:t>Πληροφορίες αναφορικά με τη διαδικασία άσκησης των δικαιωμάτων προτίμησης από τους επενδυτές παρατίθενται στην ενότητα 4.4 «Διαδικασία Άσκησης Δικαιωμάτων Προτίμησης» του Ενημερωτικού Δελτίου.</w:t>
      </w:r>
    </w:p>
    <w:p w:rsidR="00B55505" w:rsidRPr="00953549" w:rsidRDefault="00B55505" w:rsidP="00953549">
      <w:pPr>
        <w:spacing w:before="100" w:beforeAutospacing="1" w:after="240"/>
        <w:rPr>
          <w:rFonts w:ascii="Calibri" w:hAnsi="Calibri" w:cs="Arial"/>
          <w:lang w:val="el-GR"/>
        </w:rPr>
      </w:pPr>
      <w:r w:rsidRPr="00953549">
        <w:rPr>
          <w:rFonts w:ascii="Calibri" w:hAnsi="Calibri" w:cs="Arial"/>
          <w:lang w:val="el-GR"/>
        </w:rPr>
        <w:t xml:space="preserve">Κατωτέρω, παρατίθεται το αναμενόμενο χρονοδιάγραμμα της ολοκλήρωσης της Αύξησης: </w:t>
      </w:r>
    </w:p>
    <w:tbl>
      <w:tblPr>
        <w:tblW w:w="4988" w:type="pct"/>
        <w:tblInd w:w="108" w:type="dxa"/>
        <w:tblLayout w:type="fixed"/>
        <w:tblLook w:val="00A0"/>
      </w:tblPr>
      <w:tblGrid>
        <w:gridCol w:w="8038"/>
        <w:gridCol w:w="1849"/>
      </w:tblGrid>
      <w:tr w:rsidR="00B55505" w:rsidRPr="00953549" w:rsidTr="00F8386F">
        <w:trPr>
          <w:trHeight w:val="20"/>
        </w:trPr>
        <w:tc>
          <w:tcPr>
            <w:tcW w:w="4065" w:type="pct"/>
            <w:tcBorders>
              <w:top w:val="nil"/>
              <w:left w:val="dotted" w:sz="4" w:space="0" w:color="BFBFBF"/>
              <w:bottom w:val="single" w:sz="4" w:space="0" w:color="auto"/>
              <w:right w:val="dotted" w:sz="4" w:space="0" w:color="BFBFBF"/>
            </w:tcBorders>
            <w:shd w:val="clear" w:color="auto" w:fill="7F7F7F"/>
            <w:noWrap/>
            <w:vAlign w:val="center"/>
          </w:tcPr>
          <w:p w:rsidR="00B55505" w:rsidRPr="00953549" w:rsidRDefault="00B55505" w:rsidP="00F8386F">
            <w:pPr>
              <w:jc w:val="center"/>
              <w:rPr>
                <w:rFonts w:ascii="Calibri" w:hAnsi="Calibri" w:cs="Arial"/>
                <w:color w:val="FFFFFF"/>
                <w:highlight w:val="lightGray"/>
              </w:rPr>
            </w:pPr>
            <w:r w:rsidRPr="00953549">
              <w:rPr>
                <w:rFonts w:ascii="Calibri" w:hAnsi="Calibri" w:cs="Arial"/>
                <w:b/>
                <w:color w:val="FFFFFF"/>
              </w:rPr>
              <w:t>Γεγονός</w:t>
            </w:r>
          </w:p>
        </w:tc>
        <w:tc>
          <w:tcPr>
            <w:tcW w:w="935" w:type="pct"/>
            <w:tcBorders>
              <w:top w:val="nil"/>
              <w:left w:val="nil"/>
              <w:bottom w:val="single" w:sz="4" w:space="0" w:color="auto"/>
              <w:right w:val="dotted" w:sz="4" w:space="0" w:color="BFBFBF"/>
            </w:tcBorders>
            <w:shd w:val="clear" w:color="auto" w:fill="7F7F7F"/>
            <w:noWrap/>
            <w:vAlign w:val="center"/>
          </w:tcPr>
          <w:p w:rsidR="00B55505" w:rsidRPr="00953549" w:rsidRDefault="00B55505" w:rsidP="00F8386F">
            <w:pPr>
              <w:jc w:val="center"/>
              <w:rPr>
                <w:rFonts w:ascii="Calibri" w:eastAsia="Arial Unicode MS" w:hAnsi="Calibri" w:cs="Arial"/>
                <w:color w:val="FFFFFF"/>
                <w:highlight w:val="lightGray"/>
              </w:rPr>
            </w:pPr>
            <w:r w:rsidRPr="00953549">
              <w:rPr>
                <w:rFonts w:ascii="Calibri" w:hAnsi="Calibri" w:cs="Arial"/>
                <w:b/>
                <w:color w:val="FFFFFF"/>
              </w:rPr>
              <w:t>Ημερομηνία</w:t>
            </w:r>
          </w:p>
        </w:tc>
      </w:tr>
      <w:tr w:rsidR="00B55505" w:rsidRPr="00953549" w:rsidTr="00F8386F">
        <w:trPr>
          <w:trHeight w:val="20"/>
        </w:trPr>
        <w:tc>
          <w:tcPr>
            <w:tcW w:w="4065" w:type="pct"/>
            <w:tcBorders>
              <w:top w:val="single" w:sz="4" w:space="0" w:color="auto"/>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olor w:val="000000"/>
                <w:lang w:val="el-GR"/>
              </w:rPr>
            </w:pPr>
            <w:r w:rsidRPr="00953549">
              <w:rPr>
                <w:rFonts w:ascii="Calibri" w:hAnsi="Calibri" w:cs="Arial"/>
                <w:bCs/>
                <w:lang w:val="el-GR"/>
              </w:rPr>
              <w:t>Έγκριση Ενημερωτικού Δελτίου από το Δ.Σ. της Επιτροπής Κεφαλαιαγοράς</w:t>
            </w:r>
          </w:p>
        </w:tc>
        <w:tc>
          <w:tcPr>
            <w:tcW w:w="935" w:type="pct"/>
            <w:tcBorders>
              <w:top w:val="single" w:sz="4" w:space="0" w:color="auto"/>
              <w:left w:val="nil"/>
              <w:bottom w:val="dotted" w:sz="4" w:space="0" w:color="BFBFBF"/>
              <w:right w:val="dotted" w:sz="4" w:space="0" w:color="BFBFBF"/>
            </w:tcBorders>
            <w:noWrap/>
          </w:tcPr>
          <w:p w:rsidR="00B55505" w:rsidRPr="00953549" w:rsidRDefault="00B55505" w:rsidP="00F8386F">
            <w:pPr>
              <w:jc w:val="center"/>
              <w:rPr>
                <w:rFonts w:ascii="Calibri" w:hAnsi="Calibri"/>
                <w:b/>
                <w:bCs/>
                <w:color w:val="000000"/>
              </w:rPr>
            </w:pPr>
            <w:r w:rsidRPr="00953549">
              <w:rPr>
                <w:rFonts w:ascii="Calibri" w:hAnsi="Calibri" w:cs="Arial"/>
                <w:bCs/>
                <w:lang w:val="en-US"/>
              </w:rPr>
              <w:t>20</w:t>
            </w:r>
            <w:r w:rsidRPr="00953549">
              <w:rPr>
                <w:rFonts w:ascii="Calibri" w:hAnsi="Calibri" w:cs="Arial"/>
                <w:bCs/>
              </w:rPr>
              <w:t>/01/2020</w:t>
            </w:r>
          </w:p>
        </w:tc>
      </w:tr>
      <w:tr w:rsidR="00B55505" w:rsidRPr="00953549"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b/>
                <w:bCs/>
                <w:color w:val="000000"/>
                <w:lang w:val="el-GR"/>
              </w:rPr>
            </w:pPr>
            <w:r w:rsidRPr="00953549">
              <w:rPr>
                <w:rFonts w:ascii="Calibri" w:hAnsi="Calibri" w:cs="Arial"/>
                <w:bCs/>
                <w:lang w:val="el-GR"/>
              </w:rPr>
              <w:t>Έγκριση από τ</w:t>
            </w:r>
            <w:r>
              <w:rPr>
                <w:rFonts w:ascii="Calibri" w:hAnsi="Calibri" w:cs="Arial"/>
                <w:bCs/>
                <w:lang w:val="el-GR"/>
              </w:rPr>
              <w:t>ο Χρηματιστήριο Αθηνών</w:t>
            </w:r>
            <w:r w:rsidRPr="00953549">
              <w:rPr>
                <w:rFonts w:ascii="Calibri" w:hAnsi="Calibri" w:cs="Arial"/>
                <w:bCs/>
                <w:lang w:val="el-GR"/>
              </w:rPr>
              <w:t xml:space="preserve"> της εισαγωγής προς διαπραγμάτευσης των δικαιωμάτων προτίμησης</w:t>
            </w:r>
          </w:p>
        </w:tc>
        <w:tc>
          <w:tcPr>
            <w:tcW w:w="935" w:type="pct"/>
            <w:tcBorders>
              <w:top w:val="nil"/>
              <w:left w:val="nil"/>
              <w:bottom w:val="dotted" w:sz="4" w:space="0" w:color="BFBFBF"/>
              <w:right w:val="dotted" w:sz="4" w:space="0" w:color="BFBFBF"/>
            </w:tcBorders>
            <w:noWrap/>
          </w:tcPr>
          <w:p w:rsidR="00B55505" w:rsidRPr="00953549" w:rsidRDefault="00B55505" w:rsidP="00F8386F">
            <w:pPr>
              <w:jc w:val="center"/>
              <w:rPr>
                <w:rFonts w:ascii="Calibri" w:hAnsi="Calibri"/>
                <w:b/>
                <w:bCs/>
                <w:color w:val="000000"/>
              </w:rPr>
            </w:pPr>
            <w:r w:rsidRPr="00953549">
              <w:rPr>
                <w:rFonts w:ascii="Calibri" w:hAnsi="Calibri" w:cs="Arial"/>
                <w:bCs/>
                <w:lang w:val="en-US"/>
              </w:rPr>
              <w:t>20</w:t>
            </w:r>
            <w:r w:rsidRPr="00953549">
              <w:rPr>
                <w:rFonts w:ascii="Calibri" w:hAnsi="Calibri" w:cs="Arial"/>
                <w:bCs/>
              </w:rPr>
              <w:t>/01/2020</w:t>
            </w:r>
          </w:p>
        </w:tc>
      </w:tr>
      <w:tr w:rsidR="00B55505" w:rsidRPr="00953549"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olor w:val="000000"/>
                <w:lang w:val="el-GR"/>
              </w:rPr>
            </w:pPr>
            <w:r w:rsidRPr="00953549">
              <w:rPr>
                <w:rFonts w:ascii="Calibri" w:hAnsi="Calibri" w:cs="Arial"/>
                <w:bCs/>
                <w:lang w:val="el-GR"/>
              </w:rPr>
              <w:t xml:space="preserve">Δημοσίευση στο Ημερήσιο Δελτίο Τιμών του Χ.Α. της ανακοίνωσης για την ημερομηνία αποκοπής των δικαιωμάτων προτίμησης και την περίοδο άσκησης και διαπραγμάτευσης των δικαιωμάτων προτίμησης </w:t>
            </w:r>
          </w:p>
        </w:tc>
        <w:tc>
          <w:tcPr>
            <w:tcW w:w="935" w:type="pct"/>
            <w:tcBorders>
              <w:top w:val="nil"/>
              <w:left w:val="nil"/>
              <w:bottom w:val="dotted" w:sz="4" w:space="0" w:color="BFBFBF"/>
              <w:right w:val="dotted" w:sz="4" w:space="0" w:color="BFBFBF"/>
            </w:tcBorders>
            <w:noWrap/>
          </w:tcPr>
          <w:p w:rsidR="00B55505" w:rsidRPr="00953549" w:rsidRDefault="00B55505" w:rsidP="00F8386F">
            <w:pPr>
              <w:jc w:val="center"/>
              <w:rPr>
                <w:rFonts w:ascii="Calibri" w:hAnsi="Calibri"/>
                <w:color w:val="000000"/>
              </w:rPr>
            </w:pPr>
            <w:r w:rsidRPr="00953549">
              <w:rPr>
                <w:rFonts w:ascii="Calibri" w:hAnsi="Calibri" w:cs="Arial"/>
                <w:bCs/>
                <w:lang w:val="en-US"/>
              </w:rPr>
              <w:t>20</w:t>
            </w:r>
            <w:r w:rsidRPr="00953549">
              <w:rPr>
                <w:rFonts w:ascii="Calibri" w:hAnsi="Calibri" w:cs="Arial"/>
                <w:bCs/>
              </w:rPr>
              <w:t>/01/2020</w:t>
            </w:r>
          </w:p>
        </w:tc>
      </w:tr>
      <w:tr w:rsidR="00B55505" w:rsidRPr="00953549"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olor w:val="000000"/>
                <w:lang w:val="el-GR"/>
              </w:rPr>
            </w:pPr>
            <w:r w:rsidRPr="00953549">
              <w:rPr>
                <w:rFonts w:ascii="Calibri" w:hAnsi="Calibri" w:cs="Arial"/>
                <w:bCs/>
                <w:lang w:val="el-GR"/>
              </w:rPr>
              <w:t xml:space="preserve">Δημοσίευση της ανακοίνωσης για τη διάθεση του Ενημερωτικού Δελτίου στο Ημερήσιο Δελτίο Τιμών του Χ.Α. και στην ιστοσελίδα της Εταιρείας </w:t>
            </w:r>
          </w:p>
        </w:tc>
        <w:tc>
          <w:tcPr>
            <w:tcW w:w="935" w:type="pct"/>
            <w:tcBorders>
              <w:top w:val="nil"/>
              <w:left w:val="nil"/>
              <w:bottom w:val="dotted" w:sz="4" w:space="0" w:color="BFBFBF"/>
              <w:right w:val="dotted" w:sz="4" w:space="0" w:color="BFBFBF"/>
            </w:tcBorders>
            <w:noWrap/>
          </w:tcPr>
          <w:p w:rsidR="00B55505" w:rsidRPr="00953549" w:rsidRDefault="00B55505" w:rsidP="00F8386F">
            <w:pPr>
              <w:jc w:val="center"/>
              <w:rPr>
                <w:rFonts w:ascii="Calibri" w:hAnsi="Calibri"/>
                <w:color w:val="000000"/>
              </w:rPr>
            </w:pPr>
            <w:r w:rsidRPr="00953549">
              <w:rPr>
                <w:rFonts w:ascii="Calibri" w:hAnsi="Calibri" w:cs="Arial"/>
                <w:bCs/>
              </w:rPr>
              <w:t>2</w:t>
            </w:r>
            <w:r w:rsidRPr="00953549">
              <w:rPr>
                <w:rFonts w:ascii="Calibri" w:hAnsi="Calibri" w:cs="Arial"/>
                <w:bCs/>
                <w:lang w:val="en-US"/>
              </w:rPr>
              <w:t>1</w:t>
            </w:r>
            <w:r w:rsidRPr="00953549">
              <w:rPr>
                <w:rFonts w:ascii="Calibri" w:hAnsi="Calibri" w:cs="Arial"/>
                <w:bCs/>
              </w:rPr>
              <w:t>/01/2020</w:t>
            </w:r>
          </w:p>
        </w:tc>
      </w:tr>
      <w:tr w:rsidR="00B55505" w:rsidRPr="00953549"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olor w:val="000000"/>
                <w:lang w:val="el-GR"/>
              </w:rPr>
            </w:pPr>
            <w:r w:rsidRPr="00953549">
              <w:rPr>
                <w:rFonts w:ascii="Calibri" w:hAnsi="Calibri" w:cs="Arial"/>
                <w:bCs/>
                <w:lang w:val="el-GR"/>
              </w:rPr>
              <w:t>Δημοσίευση Ενημερωτικού Δελτίου (ανάρτηση στην ιστοσελίδα της Εκδότριας, της Επιτροπής Κεφαλαιαγοράς και τ</w:t>
            </w:r>
            <w:r>
              <w:rPr>
                <w:rFonts w:ascii="Calibri" w:hAnsi="Calibri" w:cs="Arial"/>
                <w:bCs/>
                <w:lang w:val="el-GR"/>
              </w:rPr>
              <w:t>ου Χ.Α.</w:t>
            </w:r>
            <w:r w:rsidRPr="00953549">
              <w:rPr>
                <w:rFonts w:ascii="Calibri" w:hAnsi="Calibri" w:cs="Arial"/>
                <w:bCs/>
                <w:lang w:val="el-GR"/>
              </w:rPr>
              <w:t>)</w:t>
            </w:r>
          </w:p>
        </w:tc>
        <w:tc>
          <w:tcPr>
            <w:tcW w:w="935" w:type="pct"/>
            <w:tcBorders>
              <w:top w:val="nil"/>
              <w:left w:val="nil"/>
              <w:bottom w:val="dotted" w:sz="4" w:space="0" w:color="BFBFBF"/>
              <w:right w:val="dotted" w:sz="4" w:space="0" w:color="BFBFBF"/>
            </w:tcBorders>
            <w:noWrap/>
          </w:tcPr>
          <w:p w:rsidR="00B55505" w:rsidRPr="00953549" w:rsidRDefault="00B55505" w:rsidP="00F8386F">
            <w:pPr>
              <w:jc w:val="center"/>
              <w:rPr>
                <w:rFonts w:ascii="Calibri" w:hAnsi="Calibri"/>
                <w:color w:val="000000"/>
              </w:rPr>
            </w:pPr>
            <w:r w:rsidRPr="00953549">
              <w:rPr>
                <w:rFonts w:ascii="Calibri" w:hAnsi="Calibri" w:cs="Arial"/>
                <w:bCs/>
              </w:rPr>
              <w:t>2</w:t>
            </w:r>
            <w:r w:rsidRPr="00953549">
              <w:rPr>
                <w:rFonts w:ascii="Calibri" w:hAnsi="Calibri" w:cs="Arial"/>
                <w:bCs/>
                <w:lang w:val="en-US"/>
              </w:rPr>
              <w:t>1</w:t>
            </w:r>
            <w:r w:rsidRPr="00953549">
              <w:rPr>
                <w:rFonts w:ascii="Calibri" w:hAnsi="Calibri" w:cs="Arial"/>
                <w:bCs/>
              </w:rPr>
              <w:t>/01/2020</w:t>
            </w:r>
          </w:p>
        </w:tc>
      </w:tr>
      <w:tr w:rsidR="00B55505" w:rsidRPr="00953549"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olor w:val="000000"/>
                <w:lang w:val="el-GR"/>
              </w:rPr>
            </w:pPr>
            <w:r w:rsidRPr="00953549">
              <w:rPr>
                <w:rFonts w:ascii="Calibri" w:hAnsi="Calibri" w:cs="Arial"/>
                <w:bCs/>
                <w:lang w:val="el-GR"/>
              </w:rPr>
              <w:t>Αποκοπή δικαιωμάτων προτίμησης – Προσαρμογή τιμής</w:t>
            </w:r>
          </w:p>
        </w:tc>
        <w:tc>
          <w:tcPr>
            <w:tcW w:w="935" w:type="pct"/>
            <w:tcBorders>
              <w:top w:val="nil"/>
              <w:left w:val="nil"/>
              <w:bottom w:val="dotted" w:sz="4" w:space="0" w:color="BFBFBF"/>
              <w:right w:val="dotted" w:sz="4" w:space="0" w:color="BFBFBF"/>
            </w:tcBorders>
            <w:noWrap/>
          </w:tcPr>
          <w:p w:rsidR="00B55505" w:rsidRPr="00953549" w:rsidRDefault="00B55505" w:rsidP="00F8386F">
            <w:pPr>
              <w:jc w:val="center"/>
              <w:rPr>
                <w:rFonts w:ascii="Calibri" w:hAnsi="Calibri"/>
                <w:color w:val="000000"/>
              </w:rPr>
            </w:pPr>
            <w:r w:rsidRPr="00953549">
              <w:rPr>
                <w:rFonts w:ascii="Calibri" w:hAnsi="Calibri" w:cs="Arial"/>
                <w:bCs/>
              </w:rPr>
              <w:t>2</w:t>
            </w:r>
            <w:r w:rsidRPr="00953549">
              <w:rPr>
                <w:rFonts w:ascii="Calibri" w:hAnsi="Calibri" w:cs="Arial"/>
                <w:bCs/>
                <w:lang w:val="en-US"/>
              </w:rPr>
              <w:t>2</w:t>
            </w:r>
            <w:r w:rsidRPr="00953549">
              <w:rPr>
                <w:rFonts w:ascii="Calibri" w:hAnsi="Calibri" w:cs="Arial"/>
                <w:bCs/>
              </w:rPr>
              <w:t>/01/2020</w:t>
            </w:r>
          </w:p>
        </w:tc>
      </w:tr>
      <w:tr w:rsidR="00B55505" w:rsidRPr="00953549"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b/>
                <w:bCs/>
                <w:color w:val="000000"/>
                <w:lang w:val="el-GR"/>
              </w:rPr>
            </w:pPr>
            <w:r w:rsidRPr="00953549">
              <w:rPr>
                <w:rFonts w:ascii="Calibri" w:hAnsi="Calibri" w:cs="Arial"/>
                <w:bCs/>
                <w:lang w:val="el-GR"/>
              </w:rPr>
              <w:t>Ημερομηνία προσδιορισμού δικαιούχων στην αύξηση (</w:t>
            </w:r>
            <w:r w:rsidRPr="00953549">
              <w:rPr>
                <w:rFonts w:ascii="Calibri" w:hAnsi="Calibri" w:cs="Arial"/>
                <w:bCs/>
              </w:rPr>
              <w:t>record</w:t>
            </w:r>
            <w:r w:rsidRPr="00953549">
              <w:rPr>
                <w:rFonts w:ascii="Calibri" w:hAnsi="Calibri" w:cs="Arial"/>
                <w:bCs/>
                <w:lang w:val="el-GR"/>
              </w:rPr>
              <w:t xml:space="preserve"> </w:t>
            </w:r>
            <w:r w:rsidRPr="00953549">
              <w:rPr>
                <w:rFonts w:ascii="Calibri" w:hAnsi="Calibri" w:cs="Arial"/>
                <w:bCs/>
              </w:rPr>
              <w:t>date</w:t>
            </w:r>
            <w:r w:rsidRPr="00953549">
              <w:rPr>
                <w:rFonts w:ascii="Calibri" w:hAnsi="Calibri" w:cs="Arial"/>
                <w:bCs/>
                <w:lang w:val="el-GR"/>
              </w:rPr>
              <w:t>)</w:t>
            </w:r>
          </w:p>
        </w:tc>
        <w:tc>
          <w:tcPr>
            <w:tcW w:w="935" w:type="pct"/>
            <w:tcBorders>
              <w:top w:val="nil"/>
              <w:left w:val="nil"/>
              <w:bottom w:val="dotted" w:sz="4" w:space="0" w:color="BFBFBF"/>
              <w:right w:val="dotted" w:sz="4" w:space="0" w:color="BFBFBF"/>
            </w:tcBorders>
            <w:noWrap/>
          </w:tcPr>
          <w:p w:rsidR="00B55505" w:rsidRPr="00953549" w:rsidRDefault="00B55505" w:rsidP="00F8386F">
            <w:pPr>
              <w:jc w:val="center"/>
              <w:rPr>
                <w:rFonts w:ascii="Calibri" w:hAnsi="Calibri"/>
                <w:color w:val="000000"/>
              </w:rPr>
            </w:pPr>
            <w:r w:rsidRPr="00953549">
              <w:rPr>
                <w:rFonts w:ascii="Calibri" w:hAnsi="Calibri" w:cs="Arial"/>
                <w:bCs/>
              </w:rPr>
              <w:t>2</w:t>
            </w:r>
            <w:r w:rsidRPr="00953549">
              <w:rPr>
                <w:rFonts w:ascii="Calibri" w:hAnsi="Calibri" w:cs="Arial"/>
                <w:bCs/>
                <w:lang w:val="en-US"/>
              </w:rPr>
              <w:t>3</w:t>
            </w:r>
            <w:r w:rsidRPr="00953549">
              <w:rPr>
                <w:rFonts w:ascii="Calibri" w:hAnsi="Calibri" w:cs="Arial"/>
                <w:bCs/>
              </w:rPr>
              <w:t>/01/2020</w:t>
            </w:r>
          </w:p>
        </w:tc>
      </w:tr>
      <w:tr w:rsidR="00B55505" w:rsidRPr="00953549"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olor w:val="000000"/>
                <w:lang w:val="el-GR"/>
              </w:rPr>
            </w:pPr>
            <w:r w:rsidRPr="00953549">
              <w:rPr>
                <w:rFonts w:ascii="Calibri" w:hAnsi="Calibri" w:cs="Arial"/>
                <w:bCs/>
                <w:lang w:val="el-GR"/>
              </w:rPr>
              <w:t>Πίστωση από τ</w:t>
            </w:r>
            <w:r>
              <w:rPr>
                <w:rFonts w:ascii="Calibri" w:hAnsi="Calibri" w:cs="Arial"/>
                <w:bCs/>
                <w:lang w:val="el-GR"/>
              </w:rPr>
              <w:t>ο Χ.Α.</w:t>
            </w:r>
            <w:r w:rsidRPr="00953549">
              <w:rPr>
                <w:rFonts w:ascii="Calibri" w:hAnsi="Calibri" w:cs="Arial"/>
                <w:bCs/>
                <w:lang w:val="el-GR"/>
              </w:rPr>
              <w:t xml:space="preserve"> των δικαιωμάτων προτίμησης στους λογαριασμούς των δικαιούχων στο Σ.Α.Τ.</w:t>
            </w:r>
          </w:p>
        </w:tc>
        <w:tc>
          <w:tcPr>
            <w:tcW w:w="935" w:type="pct"/>
            <w:tcBorders>
              <w:top w:val="nil"/>
              <w:left w:val="nil"/>
              <w:bottom w:val="dotted" w:sz="4" w:space="0" w:color="BFBFBF"/>
              <w:right w:val="dotted" w:sz="4" w:space="0" w:color="BFBFBF"/>
            </w:tcBorders>
            <w:noWrap/>
          </w:tcPr>
          <w:p w:rsidR="00B55505" w:rsidRPr="00953549" w:rsidRDefault="00B55505" w:rsidP="00F8386F">
            <w:pPr>
              <w:jc w:val="center"/>
              <w:rPr>
                <w:rFonts w:ascii="Calibri" w:hAnsi="Calibri"/>
                <w:color w:val="000000"/>
              </w:rPr>
            </w:pPr>
            <w:r w:rsidRPr="00953549">
              <w:rPr>
                <w:rFonts w:ascii="Calibri" w:hAnsi="Calibri" w:cs="Arial"/>
                <w:bCs/>
              </w:rPr>
              <w:t>2</w:t>
            </w:r>
            <w:r>
              <w:rPr>
                <w:rFonts w:ascii="Calibri" w:hAnsi="Calibri" w:cs="Arial"/>
                <w:bCs/>
                <w:lang w:val="el-GR"/>
              </w:rPr>
              <w:t>4</w:t>
            </w:r>
            <w:r w:rsidRPr="00953549">
              <w:rPr>
                <w:rFonts w:ascii="Calibri" w:hAnsi="Calibri" w:cs="Arial"/>
                <w:bCs/>
              </w:rPr>
              <w:t>/01/2020</w:t>
            </w:r>
          </w:p>
        </w:tc>
      </w:tr>
      <w:tr w:rsidR="00B55505" w:rsidRPr="00953549"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olor w:val="000000"/>
                <w:lang w:val="el-GR"/>
              </w:rPr>
            </w:pPr>
            <w:r w:rsidRPr="00953549">
              <w:rPr>
                <w:rFonts w:ascii="Calibri" w:hAnsi="Calibri" w:cs="Arial"/>
                <w:bCs/>
                <w:lang w:val="el-GR"/>
              </w:rPr>
              <w:t xml:space="preserve">Έναρξη διαπραγμάτευσης και άσκησης δικαιωμάτων προτίμησης </w:t>
            </w:r>
          </w:p>
        </w:tc>
        <w:tc>
          <w:tcPr>
            <w:tcW w:w="935" w:type="pct"/>
            <w:tcBorders>
              <w:top w:val="dotted" w:sz="4" w:space="0" w:color="BFBFBF"/>
              <w:left w:val="dotted" w:sz="4" w:space="0" w:color="BFBFBF"/>
              <w:bottom w:val="dotted" w:sz="4" w:space="0" w:color="BFBFBF"/>
              <w:right w:val="dotted" w:sz="4" w:space="0" w:color="BFBFBF"/>
            </w:tcBorders>
            <w:noWrap/>
          </w:tcPr>
          <w:p w:rsidR="00B55505" w:rsidRPr="00953549" w:rsidRDefault="00B55505" w:rsidP="00F8386F">
            <w:pPr>
              <w:jc w:val="center"/>
              <w:rPr>
                <w:rFonts w:ascii="Calibri" w:hAnsi="Calibri"/>
                <w:color w:val="000000"/>
              </w:rPr>
            </w:pPr>
            <w:r w:rsidRPr="00953549">
              <w:rPr>
                <w:rFonts w:ascii="Calibri" w:hAnsi="Calibri" w:cs="Arial"/>
                <w:bCs/>
              </w:rPr>
              <w:t>2</w:t>
            </w:r>
            <w:r w:rsidRPr="00953549">
              <w:rPr>
                <w:rFonts w:ascii="Calibri" w:hAnsi="Calibri" w:cs="Arial"/>
                <w:bCs/>
                <w:lang w:val="en-US"/>
              </w:rPr>
              <w:t>7</w:t>
            </w:r>
            <w:r w:rsidRPr="00953549">
              <w:rPr>
                <w:rFonts w:ascii="Calibri" w:hAnsi="Calibri" w:cs="Arial"/>
                <w:bCs/>
              </w:rPr>
              <w:t>/01/2020</w:t>
            </w:r>
          </w:p>
        </w:tc>
      </w:tr>
      <w:tr w:rsidR="00B55505" w:rsidRPr="00953549"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s="Arial"/>
              </w:rPr>
            </w:pPr>
            <w:r w:rsidRPr="00953549">
              <w:rPr>
                <w:rFonts w:ascii="Calibri" w:hAnsi="Calibri" w:cs="Arial"/>
                <w:bCs/>
              </w:rPr>
              <w:t>Λήξη διαπραγμάτευσης δικαιωμάτων προτίμησης</w:t>
            </w:r>
          </w:p>
        </w:tc>
        <w:tc>
          <w:tcPr>
            <w:tcW w:w="935" w:type="pct"/>
            <w:tcBorders>
              <w:top w:val="dotted" w:sz="4" w:space="0" w:color="BFBFBF"/>
              <w:left w:val="dotted" w:sz="4" w:space="0" w:color="BFBFBF"/>
              <w:bottom w:val="dotted" w:sz="4" w:space="0" w:color="BFBFBF"/>
              <w:right w:val="dotted" w:sz="4" w:space="0" w:color="BFBFBF"/>
            </w:tcBorders>
            <w:noWrap/>
          </w:tcPr>
          <w:p w:rsidR="00B55505" w:rsidRPr="00953549" w:rsidRDefault="00B55505" w:rsidP="00F8386F">
            <w:pPr>
              <w:jc w:val="center"/>
              <w:rPr>
                <w:rFonts w:ascii="Calibri" w:eastAsia="Arial Unicode MS" w:hAnsi="Calibri" w:cs="Arial"/>
              </w:rPr>
            </w:pPr>
            <w:r w:rsidRPr="00953549">
              <w:rPr>
                <w:rFonts w:ascii="Calibri" w:hAnsi="Calibri" w:cs="Arial"/>
                <w:bCs/>
                <w:lang w:val="en-US"/>
              </w:rPr>
              <w:t>05</w:t>
            </w:r>
            <w:r w:rsidRPr="00953549">
              <w:rPr>
                <w:rFonts w:ascii="Calibri" w:hAnsi="Calibri" w:cs="Arial"/>
                <w:bCs/>
              </w:rPr>
              <w:t>/02/2020</w:t>
            </w:r>
          </w:p>
        </w:tc>
      </w:tr>
      <w:tr w:rsidR="00B55505" w:rsidRPr="00953549"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s="Arial"/>
                <w:lang w:val="el-GR"/>
              </w:rPr>
            </w:pPr>
            <w:r w:rsidRPr="00953549">
              <w:rPr>
                <w:rFonts w:ascii="Calibri" w:hAnsi="Calibri" w:cs="Arial"/>
                <w:bCs/>
                <w:lang w:val="el-GR"/>
              </w:rPr>
              <w:t xml:space="preserve">Λήξη περιόδου άσκησης δικαιωμάτων προτίμησης </w:t>
            </w:r>
          </w:p>
        </w:tc>
        <w:tc>
          <w:tcPr>
            <w:tcW w:w="935" w:type="pct"/>
            <w:tcBorders>
              <w:top w:val="dotted" w:sz="4" w:space="0" w:color="BFBFBF"/>
              <w:left w:val="dotted" w:sz="4" w:space="0" w:color="BFBFBF"/>
              <w:bottom w:val="dotted" w:sz="4" w:space="0" w:color="BFBFBF"/>
              <w:right w:val="dotted" w:sz="4" w:space="0" w:color="BFBFBF"/>
            </w:tcBorders>
            <w:noWrap/>
          </w:tcPr>
          <w:p w:rsidR="00B55505" w:rsidRPr="00953549" w:rsidRDefault="00B55505" w:rsidP="00F8386F">
            <w:pPr>
              <w:jc w:val="center"/>
              <w:rPr>
                <w:rFonts w:ascii="Calibri" w:eastAsia="Arial Unicode MS" w:hAnsi="Calibri" w:cs="Arial"/>
              </w:rPr>
            </w:pPr>
            <w:r w:rsidRPr="00953549">
              <w:rPr>
                <w:rFonts w:ascii="Calibri" w:hAnsi="Calibri" w:cs="Arial"/>
                <w:bCs/>
                <w:lang w:val="en-US"/>
              </w:rPr>
              <w:t>10</w:t>
            </w:r>
            <w:r w:rsidRPr="00953549">
              <w:rPr>
                <w:rFonts w:ascii="Calibri" w:hAnsi="Calibri" w:cs="Arial"/>
                <w:bCs/>
              </w:rPr>
              <w:t>/02/2020</w:t>
            </w:r>
          </w:p>
        </w:tc>
      </w:tr>
      <w:tr w:rsidR="00B55505" w:rsidRPr="00953549"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s="Arial"/>
                <w:lang w:val="el-GR"/>
              </w:rPr>
            </w:pPr>
            <w:r w:rsidRPr="00953549">
              <w:rPr>
                <w:rFonts w:ascii="Calibri" w:hAnsi="Calibri" w:cs="Arial"/>
                <w:bCs/>
                <w:lang w:val="el-GR"/>
              </w:rPr>
              <w:t>Δημοσίευση ανακοίνωσης για το ποσοστό κάλυψης της Αύξησης που προήλθε από την άσκηση δικαιωμάτων και για την ύπαρξη τυχόν αδιάθετων μετοχών στο Η.Δ.Τ. του Χ.Α., στην ιστοσελίδα τ</w:t>
            </w:r>
            <w:r>
              <w:rPr>
                <w:rFonts w:ascii="Calibri" w:hAnsi="Calibri" w:cs="Arial"/>
                <w:bCs/>
                <w:lang w:val="el-GR"/>
              </w:rPr>
              <w:t xml:space="preserve">ου Χ.Α. </w:t>
            </w:r>
            <w:r w:rsidRPr="00953549">
              <w:rPr>
                <w:rFonts w:ascii="Calibri" w:hAnsi="Calibri" w:cs="Arial"/>
                <w:bCs/>
                <w:lang w:val="el-GR"/>
              </w:rPr>
              <w:t>και στην ιστοσελίδα της Εταιρείας</w:t>
            </w:r>
          </w:p>
        </w:tc>
        <w:tc>
          <w:tcPr>
            <w:tcW w:w="935" w:type="pct"/>
            <w:tcBorders>
              <w:top w:val="dotted" w:sz="4" w:space="0" w:color="BFBFBF"/>
              <w:left w:val="dotted" w:sz="4" w:space="0" w:color="BFBFBF"/>
              <w:bottom w:val="dotted" w:sz="4" w:space="0" w:color="BFBFBF"/>
              <w:right w:val="dotted" w:sz="4" w:space="0" w:color="BFBFBF"/>
            </w:tcBorders>
            <w:noWrap/>
          </w:tcPr>
          <w:p w:rsidR="00B55505" w:rsidRPr="00953549" w:rsidRDefault="00B55505" w:rsidP="00F8386F">
            <w:pPr>
              <w:jc w:val="center"/>
              <w:rPr>
                <w:rFonts w:ascii="Calibri" w:eastAsia="Arial Unicode MS" w:hAnsi="Calibri" w:cs="Arial"/>
              </w:rPr>
            </w:pPr>
            <w:r w:rsidRPr="00953549">
              <w:rPr>
                <w:rFonts w:ascii="Calibri" w:hAnsi="Calibri" w:cs="Arial"/>
                <w:bCs/>
              </w:rPr>
              <w:t>1</w:t>
            </w:r>
            <w:r>
              <w:rPr>
                <w:rFonts w:ascii="Calibri" w:hAnsi="Calibri" w:cs="Arial"/>
                <w:bCs/>
                <w:lang w:val="en-US"/>
              </w:rPr>
              <w:t>2</w:t>
            </w:r>
            <w:r w:rsidRPr="00953549">
              <w:rPr>
                <w:rFonts w:ascii="Calibri" w:hAnsi="Calibri" w:cs="Arial"/>
                <w:bCs/>
              </w:rPr>
              <w:t>/02/2020</w:t>
            </w:r>
          </w:p>
        </w:tc>
      </w:tr>
      <w:tr w:rsidR="00B55505" w:rsidRPr="00953549"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cs="Arial"/>
                <w:lang w:val="el-GR"/>
              </w:rPr>
            </w:pPr>
            <w:r w:rsidRPr="00953549">
              <w:rPr>
                <w:rFonts w:ascii="Calibri" w:hAnsi="Calibri" w:cs="Arial"/>
                <w:bCs/>
                <w:lang w:val="el-GR"/>
              </w:rPr>
              <w:t>Έγκριση ει</w:t>
            </w:r>
            <w:r>
              <w:rPr>
                <w:rFonts w:ascii="Calibri" w:hAnsi="Calibri" w:cs="Arial"/>
                <w:bCs/>
                <w:lang w:val="el-GR"/>
              </w:rPr>
              <w:t xml:space="preserve">σαγωγής των νέων μετοχών. από το Χ.Α. </w:t>
            </w:r>
            <w:r w:rsidRPr="00953549">
              <w:rPr>
                <w:rFonts w:ascii="Calibri" w:hAnsi="Calibri" w:cs="Arial"/>
                <w:bCs/>
                <w:lang w:val="el-GR"/>
              </w:rPr>
              <w:t>*</w:t>
            </w:r>
          </w:p>
        </w:tc>
        <w:tc>
          <w:tcPr>
            <w:tcW w:w="935" w:type="pct"/>
            <w:tcBorders>
              <w:top w:val="dotted" w:sz="4" w:space="0" w:color="BFBFBF"/>
              <w:left w:val="dotted" w:sz="4" w:space="0" w:color="BFBFBF"/>
              <w:bottom w:val="dotted" w:sz="4" w:space="0" w:color="BFBFBF"/>
              <w:right w:val="dotted" w:sz="4" w:space="0" w:color="BFBFBF"/>
            </w:tcBorders>
            <w:noWrap/>
          </w:tcPr>
          <w:p w:rsidR="00B55505" w:rsidRPr="00953549" w:rsidRDefault="00B55505" w:rsidP="00F8386F">
            <w:pPr>
              <w:jc w:val="center"/>
              <w:rPr>
                <w:rFonts w:ascii="Calibri" w:eastAsia="Arial Unicode MS" w:hAnsi="Calibri" w:cs="Arial"/>
              </w:rPr>
            </w:pPr>
            <w:r w:rsidRPr="00953549">
              <w:rPr>
                <w:rFonts w:ascii="Calibri" w:hAnsi="Calibri" w:cs="Arial"/>
                <w:bCs/>
              </w:rPr>
              <w:t>1</w:t>
            </w:r>
            <w:r w:rsidRPr="00953549">
              <w:rPr>
                <w:rFonts w:ascii="Calibri" w:hAnsi="Calibri" w:cs="Arial"/>
                <w:bCs/>
                <w:lang w:val="en-US"/>
              </w:rPr>
              <w:t>3</w:t>
            </w:r>
            <w:r w:rsidRPr="00953549">
              <w:rPr>
                <w:rFonts w:ascii="Calibri" w:hAnsi="Calibri" w:cs="Arial"/>
                <w:bCs/>
              </w:rPr>
              <w:t>/02/2020</w:t>
            </w:r>
          </w:p>
        </w:tc>
      </w:tr>
      <w:tr w:rsidR="00B55505" w:rsidRPr="00953549"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lang w:val="el-GR"/>
              </w:rPr>
            </w:pPr>
            <w:r w:rsidRPr="00953549">
              <w:rPr>
                <w:rFonts w:ascii="Calibri" w:hAnsi="Calibri" w:cs="Arial"/>
                <w:bCs/>
                <w:lang w:val="el-GR"/>
              </w:rPr>
              <w:t>Δημοσίευση στο Η.Δ.Τ. του Χ.Α. της ανακοίνωσης για την ημερομηνία έναρξης διαπραγμάτευσης των νέων μετοχών</w:t>
            </w:r>
          </w:p>
        </w:tc>
        <w:tc>
          <w:tcPr>
            <w:tcW w:w="935" w:type="pct"/>
            <w:tcBorders>
              <w:top w:val="dotted" w:sz="4" w:space="0" w:color="BFBFBF"/>
              <w:left w:val="dotted" w:sz="4" w:space="0" w:color="BFBFBF"/>
              <w:bottom w:val="dotted" w:sz="4" w:space="0" w:color="BFBFBF"/>
              <w:right w:val="dotted" w:sz="4" w:space="0" w:color="BFBFBF"/>
            </w:tcBorders>
            <w:noWrap/>
            <w:vAlign w:val="center"/>
          </w:tcPr>
          <w:p w:rsidR="00B55505" w:rsidRPr="00953549" w:rsidRDefault="00B55505" w:rsidP="00F8386F">
            <w:pPr>
              <w:jc w:val="center"/>
              <w:rPr>
                <w:rFonts w:ascii="Calibri" w:hAnsi="Calibri"/>
              </w:rPr>
            </w:pPr>
            <w:r w:rsidRPr="00953549">
              <w:rPr>
                <w:rFonts w:ascii="Calibri" w:hAnsi="Calibri" w:cs="Arial"/>
                <w:bCs/>
              </w:rPr>
              <w:t>1</w:t>
            </w:r>
            <w:r w:rsidRPr="00953549">
              <w:rPr>
                <w:rFonts w:ascii="Calibri" w:hAnsi="Calibri" w:cs="Arial"/>
                <w:bCs/>
                <w:lang w:val="en-US"/>
              </w:rPr>
              <w:t>3</w:t>
            </w:r>
            <w:r w:rsidRPr="00953549">
              <w:rPr>
                <w:rFonts w:ascii="Calibri" w:hAnsi="Calibri" w:cs="Arial"/>
                <w:bCs/>
              </w:rPr>
              <w:t>/02/2020</w:t>
            </w:r>
          </w:p>
        </w:tc>
      </w:tr>
      <w:tr w:rsidR="00B55505" w:rsidRPr="00953549"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B55505" w:rsidRPr="00953549" w:rsidRDefault="00B55505" w:rsidP="00F8386F">
            <w:pPr>
              <w:jc w:val="both"/>
              <w:rPr>
                <w:rFonts w:ascii="Calibri" w:hAnsi="Calibri"/>
                <w:lang w:val="el-GR"/>
              </w:rPr>
            </w:pPr>
            <w:r w:rsidRPr="00953549">
              <w:rPr>
                <w:rFonts w:ascii="Calibri" w:hAnsi="Calibri" w:cs="Arial"/>
                <w:bCs/>
                <w:lang w:val="el-GR"/>
              </w:rPr>
              <w:t>Έναρξη διαπραγμάτευσης νέων μετοχών από την Αύξηση Μετοχικού Κεφαλαίου</w:t>
            </w:r>
          </w:p>
        </w:tc>
        <w:tc>
          <w:tcPr>
            <w:tcW w:w="935" w:type="pct"/>
            <w:tcBorders>
              <w:top w:val="dotted" w:sz="4" w:space="0" w:color="BFBFBF"/>
              <w:left w:val="dotted" w:sz="4" w:space="0" w:color="BFBFBF"/>
              <w:bottom w:val="dotted" w:sz="4" w:space="0" w:color="BFBFBF"/>
              <w:right w:val="dotted" w:sz="4" w:space="0" w:color="BFBFBF"/>
            </w:tcBorders>
            <w:noWrap/>
            <w:vAlign w:val="center"/>
          </w:tcPr>
          <w:p w:rsidR="00B55505" w:rsidRPr="00953549" w:rsidRDefault="00B55505" w:rsidP="00F8386F">
            <w:pPr>
              <w:jc w:val="center"/>
              <w:rPr>
                <w:rFonts w:ascii="Calibri" w:hAnsi="Calibri"/>
              </w:rPr>
            </w:pPr>
            <w:r w:rsidRPr="00953549">
              <w:rPr>
                <w:rFonts w:ascii="Calibri" w:hAnsi="Calibri" w:cs="Arial"/>
                <w:bCs/>
              </w:rPr>
              <w:t>1</w:t>
            </w:r>
            <w:r w:rsidRPr="00953549">
              <w:rPr>
                <w:rFonts w:ascii="Calibri" w:hAnsi="Calibri" w:cs="Arial"/>
                <w:bCs/>
                <w:lang w:val="en-US"/>
              </w:rPr>
              <w:t>7</w:t>
            </w:r>
            <w:r w:rsidRPr="00953549">
              <w:rPr>
                <w:rFonts w:ascii="Calibri" w:hAnsi="Calibri" w:cs="Arial"/>
                <w:bCs/>
              </w:rPr>
              <w:t>/02/2020</w:t>
            </w:r>
          </w:p>
        </w:tc>
      </w:tr>
    </w:tbl>
    <w:p w:rsidR="00B55505" w:rsidRPr="00953549" w:rsidRDefault="00B55505" w:rsidP="00953549">
      <w:pPr>
        <w:pStyle w:val="Alex"/>
        <w:spacing w:before="120"/>
        <w:rPr>
          <w:rFonts w:ascii="Calibri" w:hAnsi="Calibri" w:cs="Arial"/>
          <w:bCs w:val="0"/>
          <w:i/>
          <w:szCs w:val="20"/>
        </w:rPr>
      </w:pPr>
      <w:r w:rsidRPr="00953549">
        <w:rPr>
          <w:rFonts w:ascii="Calibri" w:hAnsi="Calibri" w:cs="Arial"/>
          <w:bCs w:val="0"/>
          <w:i/>
          <w:szCs w:val="20"/>
        </w:rPr>
        <w:t>* Τελεί υπό την αίρεση της σύγκλησης των Επιτροπών του Χ.Α. κατά τις ανωτέρω ημερομηνίες</w:t>
      </w:r>
    </w:p>
    <w:p w:rsidR="00B55505" w:rsidRPr="00953549" w:rsidRDefault="00B55505" w:rsidP="00953549">
      <w:pPr>
        <w:spacing w:before="100" w:beforeAutospacing="1" w:after="240"/>
        <w:jc w:val="both"/>
        <w:rPr>
          <w:rFonts w:ascii="Calibri" w:hAnsi="Calibri" w:cs="Arial"/>
          <w:lang w:val="el-GR"/>
        </w:rPr>
      </w:pPr>
      <w:r>
        <w:rPr>
          <w:rFonts w:ascii="Calibri" w:hAnsi="Calibri" w:cs="Arial"/>
          <w:lang w:val="el-GR"/>
        </w:rPr>
        <w:t>Σ</w:t>
      </w:r>
      <w:r w:rsidRPr="00953549">
        <w:rPr>
          <w:rFonts w:ascii="Calibri" w:hAnsi="Calibri" w:cs="Arial"/>
          <w:lang w:val="el-GR"/>
        </w:rPr>
        <w:t>ημειώνεται ότι το παραπάνω χρονοδιάγραμμα εξαρτάται από πολλούς αστάθμητους παράγοντες και ενδέχεται να μεταβληθεί. Σε κάθε περίπτωση θα υπάρξει ενημέρωση του επενδυτικού κοινού με σχετική ανακοίνωση της Εταιρείας.</w:t>
      </w:r>
    </w:p>
    <w:p w:rsidR="00B55505" w:rsidRPr="00953549" w:rsidRDefault="00B55505" w:rsidP="00953549">
      <w:pPr>
        <w:spacing w:after="120"/>
        <w:jc w:val="both"/>
        <w:rPr>
          <w:rFonts w:ascii="Calibri" w:hAnsi="Calibri" w:cs="Calibri"/>
          <w:color w:val="000000"/>
          <w:lang w:val="el-GR"/>
        </w:rPr>
      </w:pPr>
      <w:r w:rsidRPr="00953549">
        <w:rPr>
          <w:rFonts w:ascii="Calibri" w:hAnsi="Calibri" w:cs="Calibri"/>
          <w:color w:val="000000"/>
          <w:lang w:val="el-GR"/>
        </w:rPr>
        <w:t>Το Ενημερωτικό Δελτίο, όπως εγκρίθηκε από</w:t>
      </w:r>
      <w:bookmarkStart w:id="0" w:name="_GoBack"/>
      <w:bookmarkEnd w:id="0"/>
      <w:r w:rsidRPr="00953549">
        <w:rPr>
          <w:rFonts w:ascii="Calibri" w:hAnsi="Calibri" w:cs="Calibri"/>
          <w:color w:val="000000"/>
          <w:lang w:val="el-GR"/>
        </w:rPr>
        <w:t xml:space="preserve"> το Διοικητικό Συμβούλιο της Επιτροπής Κεφαλαιαγοράς στις 20.01.2020, θα είναι διαθέσιμο  από τις 21.01.2020 σε ηλεκτρονική μορφή:</w:t>
      </w:r>
    </w:p>
    <w:p w:rsidR="00B55505" w:rsidRPr="00953549" w:rsidRDefault="00B55505" w:rsidP="00953549">
      <w:pPr>
        <w:pStyle w:val="ListParagraph"/>
        <w:numPr>
          <w:ilvl w:val="0"/>
          <w:numId w:val="2"/>
        </w:numPr>
        <w:spacing w:after="120" w:line="240" w:lineRule="auto"/>
        <w:rPr>
          <w:rFonts w:cs="Calibri"/>
          <w:sz w:val="20"/>
          <w:szCs w:val="20"/>
        </w:rPr>
      </w:pPr>
      <w:r w:rsidRPr="00953549">
        <w:rPr>
          <w:rFonts w:cs="Calibri"/>
          <w:color w:val="000000"/>
          <w:sz w:val="20"/>
          <w:szCs w:val="20"/>
        </w:rPr>
        <w:t xml:space="preserve">στην ιστοσελίδα του Χρηματιστηρίου Αθηνών </w:t>
      </w:r>
      <w:r w:rsidRPr="00953549">
        <w:rPr>
          <w:rFonts w:cs="Calibri"/>
          <w:sz w:val="20"/>
          <w:szCs w:val="20"/>
        </w:rPr>
        <w:t>(</w:t>
      </w:r>
      <w:r w:rsidRPr="00953549">
        <w:rPr>
          <w:rFonts w:cs="Calibri"/>
          <w:color w:val="000000"/>
          <w:sz w:val="20"/>
          <w:szCs w:val="20"/>
        </w:rPr>
        <w:t>https://www.athexgroup.gr/el/web/guest/company-prospectus/-/select-company/142</w:t>
      </w:r>
      <w:r w:rsidRPr="00953549">
        <w:rPr>
          <w:rFonts w:cs="Calibri"/>
          <w:sz w:val="20"/>
          <w:szCs w:val="20"/>
        </w:rPr>
        <w:t xml:space="preserve">), </w:t>
      </w:r>
    </w:p>
    <w:p w:rsidR="00B55505" w:rsidRPr="00953549" w:rsidRDefault="00B55505" w:rsidP="00953549">
      <w:pPr>
        <w:pStyle w:val="ListParagraph"/>
        <w:numPr>
          <w:ilvl w:val="0"/>
          <w:numId w:val="2"/>
        </w:numPr>
        <w:spacing w:after="120" w:line="240" w:lineRule="auto"/>
        <w:jc w:val="both"/>
        <w:rPr>
          <w:rFonts w:cs="Calibri"/>
          <w:sz w:val="20"/>
          <w:szCs w:val="20"/>
        </w:rPr>
      </w:pPr>
      <w:r w:rsidRPr="00953549">
        <w:rPr>
          <w:rFonts w:cs="Calibri"/>
          <w:color w:val="000000"/>
          <w:sz w:val="20"/>
          <w:szCs w:val="20"/>
        </w:rPr>
        <w:t xml:space="preserve">της Επιτροπής Κεφαλαιαγοράς </w:t>
      </w:r>
      <w:r w:rsidRPr="00953549">
        <w:rPr>
          <w:rFonts w:cs="Calibri"/>
          <w:sz w:val="20"/>
          <w:szCs w:val="20"/>
        </w:rPr>
        <w:t>(</w:t>
      </w:r>
      <w:hyperlink r:id="rId11" w:history="1">
        <w:r w:rsidRPr="00953549">
          <w:rPr>
            <w:rFonts w:cs="Calibri"/>
            <w:sz w:val="20"/>
            <w:szCs w:val="20"/>
          </w:rPr>
          <w:t>www.hcmc.gr/el_GR/web/portal/elib/deltia</w:t>
        </w:r>
      </w:hyperlink>
      <w:r w:rsidRPr="00953549">
        <w:rPr>
          <w:rFonts w:cs="Calibri"/>
          <w:sz w:val="20"/>
          <w:szCs w:val="20"/>
        </w:rPr>
        <w:t>)</w:t>
      </w:r>
      <w:r w:rsidRPr="00953549">
        <w:rPr>
          <w:rFonts w:cs="Calibri"/>
          <w:color w:val="000000"/>
          <w:sz w:val="20"/>
          <w:szCs w:val="20"/>
        </w:rPr>
        <w:t xml:space="preserve">, </w:t>
      </w:r>
    </w:p>
    <w:p w:rsidR="00B55505" w:rsidRPr="00953549" w:rsidRDefault="00B55505" w:rsidP="00953549">
      <w:pPr>
        <w:pStyle w:val="ListParagraph"/>
        <w:numPr>
          <w:ilvl w:val="0"/>
          <w:numId w:val="2"/>
        </w:numPr>
        <w:spacing w:after="120" w:line="240" w:lineRule="auto"/>
        <w:jc w:val="both"/>
        <w:rPr>
          <w:rFonts w:cs="Calibri"/>
          <w:sz w:val="20"/>
          <w:szCs w:val="20"/>
        </w:rPr>
      </w:pPr>
      <w:r w:rsidRPr="00953549">
        <w:rPr>
          <w:rFonts w:cs="Calibri"/>
          <w:color w:val="000000"/>
          <w:sz w:val="20"/>
          <w:szCs w:val="20"/>
        </w:rPr>
        <w:t xml:space="preserve">της Εταιρείας </w:t>
      </w:r>
      <w:r w:rsidRPr="00953549">
        <w:rPr>
          <w:rFonts w:cs="Arial"/>
          <w:noProof/>
          <w:sz w:val="20"/>
          <w:szCs w:val="20"/>
        </w:rPr>
        <w:t>http://www.jp-avax.gr/default.aspx?pid=335&amp;CTID=203</w:t>
      </w:r>
      <w:r w:rsidRPr="00953549">
        <w:rPr>
          <w:rFonts w:cs="Calibri"/>
          <w:sz w:val="20"/>
          <w:szCs w:val="20"/>
        </w:rPr>
        <w:t xml:space="preserve">, </w:t>
      </w:r>
    </w:p>
    <w:p w:rsidR="00B55505" w:rsidRPr="00953549" w:rsidRDefault="00B55505" w:rsidP="00953549">
      <w:pPr>
        <w:spacing w:before="100" w:beforeAutospacing="1" w:after="240"/>
        <w:jc w:val="both"/>
        <w:rPr>
          <w:rFonts w:ascii="Calibri" w:hAnsi="Calibri" w:cs="Arial"/>
          <w:lang w:val="el-GR"/>
        </w:rPr>
      </w:pPr>
      <w:r w:rsidRPr="00953549">
        <w:rPr>
          <w:rFonts w:ascii="Calibri" w:hAnsi="Calibri" w:cs="Arial"/>
          <w:lang w:val="el-GR"/>
        </w:rPr>
        <w:t>Επίσης, το Ενημερωτικό Δελτίο, εφόσον ζητείται από τους επενδυτές, δύναται να τους χορηγηθεί δωρεάν κατόπιν αιτήσεώς τους, κατά τη διάρκεια της περιόδου άσκησης των δικαιωμάτων προτίμησης, σε έντυπη μορφή  από τα γραφεία της Εταιρείας (Αμαρουσίου-Χαλανδρίου 16, Τ.Κ 151 25, Μαρούσι).</w:t>
      </w:r>
    </w:p>
    <w:p w:rsidR="00B55505" w:rsidRPr="00953549" w:rsidRDefault="00B55505" w:rsidP="00953549">
      <w:pPr>
        <w:spacing w:before="100" w:beforeAutospacing="1" w:after="240"/>
        <w:jc w:val="both"/>
        <w:rPr>
          <w:rFonts w:ascii="Calibri" w:hAnsi="Calibri" w:cs="Arial"/>
          <w:lang w:val="el-GR"/>
        </w:rPr>
      </w:pPr>
      <w:r w:rsidRPr="00953549">
        <w:rPr>
          <w:rFonts w:ascii="Calibri" w:hAnsi="Calibri" w:cs="Arial"/>
          <w:lang w:val="el-GR"/>
        </w:rPr>
        <w:t xml:space="preserve">Για περισσότερες πληροφορίες οι κ.κ. μέτοχοι μπορούν να απευθύνονται στα γραφεία της Εταιρείας επί της Αμαρουσίου-Χαλανδρίου 16, ΤΚ 151 25, Μαρούσι (Τμήμα Εξυπηρέτησης Μετόχων, Αρμόδιοι: κος Α. Κιοσκλής και κα Ε. Μιχαηλάρη, τηλ. 2106375000) </w:t>
      </w:r>
    </w:p>
    <w:p w:rsidR="00B55505" w:rsidRPr="00953549" w:rsidRDefault="00B55505" w:rsidP="00953549">
      <w:pPr>
        <w:spacing w:before="100" w:beforeAutospacing="1" w:after="240"/>
        <w:jc w:val="center"/>
        <w:rPr>
          <w:rFonts w:ascii="Calibri" w:hAnsi="Calibri" w:cs="Arial"/>
          <w:b/>
          <w:bCs/>
        </w:rPr>
      </w:pPr>
      <w:r w:rsidRPr="00953549">
        <w:rPr>
          <w:rFonts w:ascii="Calibri" w:hAnsi="Calibri" w:cs="Arial"/>
          <w:b/>
          <w:bCs/>
        </w:rPr>
        <w:t xml:space="preserve">Μαρούσι, </w:t>
      </w:r>
      <w:r w:rsidRPr="00953549">
        <w:rPr>
          <w:rFonts w:ascii="Calibri" w:hAnsi="Calibri" w:cs="Calibri"/>
          <w:b/>
          <w:bCs/>
        </w:rPr>
        <w:t>20</w:t>
      </w:r>
      <w:r w:rsidRPr="00953549">
        <w:rPr>
          <w:rFonts w:ascii="Calibri" w:hAnsi="Calibri" w:cs="Arial"/>
          <w:b/>
          <w:bCs/>
        </w:rPr>
        <w:t xml:space="preserve"> Ιανουαρίου 2020</w:t>
      </w:r>
    </w:p>
    <w:p w:rsidR="00B55505" w:rsidRPr="00246774" w:rsidRDefault="00B55505" w:rsidP="000E0A29">
      <w:pPr>
        <w:ind w:right="283" w:firstLine="142"/>
        <w:jc w:val="center"/>
        <w:rPr>
          <w:rFonts w:ascii="Arial" w:hAnsi="Arial"/>
          <w:b/>
          <w:lang w:val="el-GR"/>
        </w:rPr>
      </w:pPr>
    </w:p>
    <w:sectPr w:rsidR="00B55505" w:rsidRPr="00246774" w:rsidSect="005E0F42">
      <w:type w:val="continuous"/>
      <w:pgSz w:w="11906" w:h="16838" w:code="9"/>
      <w:pgMar w:top="1440" w:right="1077" w:bottom="851" w:left="1134" w:header="709" w:footer="28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05" w:rsidRDefault="00B55505">
      <w:r>
        <w:separator/>
      </w:r>
    </w:p>
  </w:endnote>
  <w:endnote w:type="continuationSeparator" w:id="0">
    <w:p w:rsidR="00B55505" w:rsidRDefault="00B55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05" w:rsidRPr="00BA3EEE" w:rsidRDefault="00B55505" w:rsidP="009F7D5B">
    <w:pPr>
      <w:pStyle w:val="Footer"/>
      <w:jc w:val="center"/>
      <w:rPr>
        <w:rStyle w:val="PageNumber"/>
        <w:rFonts w:cs="Tahoma"/>
        <w:sz w:val="40"/>
        <w:szCs w:val="40"/>
      </w:rPr>
    </w:pPr>
  </w:p>
  <w:p w:rsidR="00B55505" w:rsidRDefault="00B55505" w:rsidP="009F7D5B">
    <w:pPr>
      <w:pStyle w:val="Footer"/>
      <w:jc w:val="center"/>
      <w:rPr>
        <w:rStyle w:val="PageNumber"/>
        <w:rFonts w:cs="Tahoma"/>
        <w:sz w:val="8"/>
        <w:szCs w:val="8"/>
      </w:rPr>
    </w:pPr>
  </w:p>
  <w:p w:rsidR="00B55505" w:rsidRDefault="00B55505" w:rsidP="009F7D5B">
    <w:pPr>
      <w:pStyle w:val="Footer"/>
      <w:jc w:val="center"/>
      <w:rPr>
        <w:rStyle w:val="PageNumber"/>
        <w:rFonts w:cs="Tahoma"/>
        <w:szCs w:val="22"/>
      </w:rPr>
    </w:pPr>
    <w:r>
      <w:rPr>
        <w:rStyle w:val="PageNumber"/>
        <w:rFonts w:cs="Tahoma"/>
        <w:szCs w:val="22"/>
      </w:rPr>
      <w:fldChar w:fldCharType="begin"/>
    </w:r>
    <w:r>
      <w:rPr>
        <w:rStyle w:val="PageNumber"/>
        <w:rFonts w:cs="Tahoma"/>
        <w:szCs w:val="22"/>
      </w:rPr>
      <w:instrText xml:space="preserve"> PAGE </w:instrText>
    </w:r>
    <w:r>
      <w:rPr>
        <w:rStyle w:val="PageNumber"/>
        <w:rFonts w:cs="Tahoma"/>
        <w:szCs w:val="22"/>
      </w:rPr>
      <w:fldChar w:fldCharType="separate"/>
    </w:r>
    <w:r>
      <w:rPr>
        <w:rStyle w:val="PageNumber"/>
        <w:rFonts w:cs="Tahoma"/>
        <w:noProof/>
        <w:szCs w:val="22"/>
      </w:rPr>
      <w:t>2</w:t>
    </w:r>
    <w:r>
      <w:rPr>
        <w:rStyle w:val="PageNumber"/>
        <w:rFonts w:cs="Tahoma"/>
        <w:szCs w:val="22"/>
      </w:rPr>
      <w:fldChar w:fldCharType="end"/>
    </w:r>
  </w:p>
  <w:p w:rsidR="00B55505" w:rsidRDefault="00B55505" w:rsidP="009F7D5B">
    <w:pPr>
      <w:pStyle w:val="Footer"/>
      <w:jc w:val="center"/>
      <w:rPr>
        <w:sz w:val="22"/>
        <w:szCs w:val="22"/>
        <w:lang w:val="en-US"/>
      </w:rPr>
    </w:pPr>
  </w:p>
  <w:p w:rsidR="00B55505" w:rsidRDefault="00B55505" w:rsidP="009F7D5B">
    <w:pPr>
      <w:pStyle w:val="Footer"/>
      <w:jc w:val="center"/>
      <w:rPr>
        <w:sz w:val="22"/>
        <w:szCs w:val="22"/>
        <w:lang w:val="en-US"/>
      </w:rPr>
    </w:pPr>
    <w:r>
      <w:rPr>
        <w:noProof/>
        <w:lang w:val="el-GR" w:eastAsia="el-GR"/>
      </w:rPr>
      <w:pict>
        <v:shapetype id="_x0000_t202" coordsize="21600,21600" o:spt="202" path="m,l,21600r21600,l21600,xe">
          <v:stroke joinstyle="miter"/>
          <v:path gradientshapeok="t" o:connecttype="rect"/>
        </v:shapetype>
        <v:shape id="_x0000_s2049" type="#_x0000_t202" style="position:absolute;left:0;text-align:left;margin-left:-63pt;margin-top:7.95pt;width:602.95pt;height:201.85pt;z-index:251661824" fillcolor="silver" strokecolor="silver" strokeweight="2.25pt">
          <v:textbox style="mso-next-textbox:#_x0000_s2049" inset=",65mm,,7.3mm">
            <w:txbxContent>
              <w:p w:rsidR="00B55505" w:rsidRPr="00A6329D" w:rsidRDefault="00B55505" w:rsidP="00122D8B"/>
            </w:txbxContent>
          </v:textbox>
        </v:shape>
      </w:pict>
    </w:r>
  </w:p>
  <w:p w:rsidR="00B55505" w:rsidRDefault="00B55505" w:rsidP="00122D8B">
    <w:pPr>
      <w:pStyle w:val="Footer"/>
      <w:tabs>
        <w:tab w:val="left" w:pos="720"/>
      </w:tabs>
      <w:spacing w:after="120"/>
      <w:ind w:left="-720" w:right="-873"/>
      <w:jc w:val="center"/>
      <w:rPr>
        <w:sz w:val="2"/>
        <w:szCs w:val="2"/>
        <w:lang w:val="el-GR"/>
      </w:rPr>
    </w:pPr>
    <w:r>
      <w:rPr>
        <w:noProof/>
        <w:lang w:val="el-GR" w:eastAsia="el-GR"/>
      </w:rPr>
      <w:pict>
        <v:shape id="_x0000_s2050" type="#_x0000_t202" style="position:absolute;left:0;text-align:left;margin-left:-62.8pt;margin-top:49.85pt;width:603pt;height:20.95pt;z-index:251654656" filled="f" stroked="f">
          <v:textbox style="mso-next-textbox:#_x0000_s2050">
            <w:txbxContent>
              <w:p w:rsidR="00B55505" w:rsidRDefault="00B55505"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1" type="#_x0000_t202" style="position:absolute;left:0;text-align:left;margin-left:-50.8pt;margin-top:61.85pt;width:603pt;height:20.95pt;z-index:251655680" filled="f" stroked="f">
          <v:textbox style="mso-next-textbox:#_x0000_s2051">
            <w:txbxContent>
              <w:p w:rsidR="00B55505" w:rsidRDefault="00B55505"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2" type="#_x0000_t202" style="position:absolute;left:0;text-align:left;margin-left:-38.8pt;margin-top:73.85pt;width:603pt;height:20.95pt;z-index:251656704" filled="f" stroked="f">
          <v:textbox style="mso-next-textbox:#_x0000_s2052">
            <w:txbxContent>
              <w:p w:rsidR="00B55505" w:rsidRDefault="00B55505"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3" type="#_x0000_t202" style="position:absolute;left:0;text-align:left;margin-left:-26.8pt;margin-top:85.85pt;width:603pt;height:20.95pt;z-index:251657728" filled="f" stroked="f">
          <v:textbox style="mso-next-textbox:#_x0000_s2053">
            <w:txbxContent>
              <w:p w:rsidR="00B55505" w:rsidRDefault="00B55505"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4" type="#_x0000_t202" style="position:absolute;left:0;text-align:left;margin-left:-14.8pt;margin-top:97.85pt;width:603pt;height:20.95pt;z-index:251658752" filled="f" stroked="f">
          <v:textbox style="mso-next-textbox:#_x0000_s2054">
            <w:txbxContent>
              <w:p w:rsidR="00B55505" w:rsidRDefault="00B55505"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5" type="#_x0000_t202" style="position:absolute;left:0;text-align:left;margin-left:-2.8pt;margin-top:109.85pt;width:603pt;height:20.95pt;z-index:251659776" filled="f" stroked="f">
          <v:textbox style="mso-next-textbox:#_x0000_s2055">
            <w:txbxContent>
              <w:p w:rsidR="00B55505" w:rsidRDefault="00B55505"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6" type="#_x0000_t202" style="position:absolute;left:0;text-align:left;margin-left:9.2pt;margin-top:121.85pt;width:603pt;height:20.95pt;z-index:251660800" filled="f" stroked="f">
          <v:textbox style="mso-next-textbox:#_x0000_s2056">
            <w:txbxContent>
              <w:p w:rsidR="00B55505" w:rsidRDefault="00B55505"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05" w:rsidRPr="00DA56C2" w:rsidRDefault="00B55505" w:rsidP="00E00D26">
    <w:pPr>
      <w:pStyle w:val="Footer"/>
      <w:tabs>
        <w:tab w:val="left" w:pos="720"/>
      </w:tabs>
      <w:spacing w:after="120"/>
      <w:ind w:left="-720" w:right="-873"/>
      <w:jc w:val="center"/>
      <w:rPr>
        <w:rFonts w:ascii="Tahoma" w:hAnsi="Tahoma" w:cs="Tahoma"/>
        <w:b/>
        <w:bCs/>
        <w:spacing w:val="20"/>
        <w:sz w:val="22"/>
        <w:szCs w:val="22"/>
      </w:rPr>
    </w:pPr>
  </w:p>
  <w:p w:rsidR="00B55505" w:rsidRPr="00EE44D9" w:rsidRDefault="00B55505" w:rsidP="00471EA2">
    <w:pPr>
      <w:pStyle w:val="Footer"/>
      <w:tabs>
        <w:tab w:val="left" w:pos="720"/>
      </w:tabs>
      <w:spacing w:after="80"/>
      <w:ind w:left="-720" w:right="-873"/>
      <w:jc w:val="center"/>
      <w:rPr>
        <w:rFonts w:ascii="Tahoma" w:hAnsi="Tahoma" w:cs="Tahoma"/>
        <w:color w:val="000099"/>
        <w:spacing w:val="14"/>
        <w:sz w:val="18"/>
        <w:szCs w:val="18"/>
        <w:lang w:val="el-GR"/>
      </w:rPr>
    </w:pPr>
    <w:r w:rsidRPr="00EE44D9">
      <w:rPr>
        <w:rFonts w:ascii="Tahoma" w:hAnsi="Tahoma" w:cs="Tahoma"/>
        <w:b/>
        <w:bCs/>
        <w:color w:val="000099"/>
        <w:spacing w:val="14"/>
        <w:sz w:val="18"/>
        <w:szCs w:val="18"/>
        <w:lang w:val="el-GR"/>
      </w:rPr>
      <w:t xml:space="preserve">ΑΒΑΞ Α.Ε. </w:t>
    </w:r>
    <w:r w:rsidRPr="00EE44D9">
      <w:rPr>
        <w:rFonts w:ascii="Tahoma" w:hAnsi="Tahoma" w:cs="Tahoma"/>
        <w:bCs/>
        <w:color w:val="000099"/>
        <w:spacing w:val="14"/>
        <w:sz w:val="18"/>
        <w:szCs w:val="18"/>
        <w:lang w:val="el-GR"/>
      </w:rPr>
      <w:t>Αμαρουσίου</w:t>
    </w:r>
    <w:r w:rsidRPr="00EE44D9">
      <w:rPr>
        <w:rFonts w:ascii="Tahoma" w:hAnsi="Tahoma" w:cs="Tahoma"/>
        <w:color w:val="000099"/>
        <w:spacing w:val="14"/>
        <w:sz w:val="18"/>
        <w:szCs w:val="18"/>
        <w:lang w:val="el-GR"/>
      </w:rPr>
      <w:t xml:space="preserve"> - Χαλανδρίου 16, 151 25 Μαρούσι, Αθήνα, Τηλ.: 210 6375000, </w:t>
    </w:r>
    <w:r w:rsidRPr="00EE44D9">
      <w:rPr>
        <w:rFonts w:ascii="Tahoma" w:hAnsi="Tahoma" w:cs="Tahoma"/>
        <w:color w:val="000099"/>
        <w:spacing w:val="14"/>
        <w:sz w:val="18"/>
        <w:szCs w:val="18"/>
      </w:rPr>
      <w:t>Fax</w:t>
    </w:r>
    <w:r w:rsidRPr="00EE44D9">
      <w:rPr>
        <w:rFonts w:ascii="Tahoma" w:hAnsi="Tahoma" w:cs="Tahoma"/>
        <w:color w:val="000099"/>
        <w:spacing w:val="14"/>
        <w:sz w:val="18"/>
        <w:szCs w:val="18"/>
        <w:lang w:val="el-GR"/>
      </w:rPr>
      <w:t>: 210 6104380,</w:t>
    </w:r>
  </w:p>
  <w:p w:rsidR="00B55505" w:rsidRPr="00EE44D9" w:rsidRDefault="00B55505" w:rsidP="00471EA2">
    <w:pPr>
      <w:pStyle w:val="Footer"/>
      <w:tabs>
        <w:tab w:val="left" w:pos="720"/>
      </w:tabs>
      <w:spacing w:after="80"/>
      <w:ind w:left="-720" w:right="-873"/>
      <w:jc w:val="center"/>
      <w:rPr>
        <w:color w:val="000099"/>
        <w:sz w:val="17"/>
        <w:szCs w:val="17"/>
        <w:lang w:val="el-GR"/>
      </w:rPr>
    </w:pPr>
    <w:r w:rsidRPr="00EE44D9">
      <w:rPr>
        <w:rFonts w:ascii="Tahoma" w:hAnsi="Tahoma" w:cs="Tahoma"/>
        <w:color w:val="000099"/>
        <w:sz w:val="17"/>
        <w:szCs w:val="17"/>
        <w:lang w:val="el-GR"/>
      </w:rPr>
      <w:t xml:space="preserve">Αρ. Γ.Ε.ΜΗ.  913601000  ΥΠ. ΟΙΚΟΝΟΜΙΑΣ &amp; ΑΝΑΠΤΥΞΗΣ  </w:t>
    </w:r>
    <w:r w:rsidRPr="00EE44D9">
      <w:rPr>
        <w:rFonts w:ascii="Tahoma" w:hAnsi="Tahoma" w:cs="Tahoma"/>
        <w:color w:val="000099"/>
        <w:spacing w:val="20"/>
        <w:sz w:val="17"/>
        <w:szCs w:val="17"/>
        <w:lang w:val="el-GR"/>
      </w:rPr>
      <w:t>ΑΦΜ: 094183623,</w:t>
    </w:r>
    <w:r w:rsidRPr="00EE44D9">
      <w:rPr>
        <w:rFonts w:ascii="Tahoma" w:hAnsi="Tahoma" w:cs="Tahoma"/>
        <w:color w:val="000099"/>
        <w:sz w:val="17"/>
        <w:szCs w:val="17"/>
        <w:lang w:val="el-GR"/>
      </w:rPr>
      <w:t xml:space="preserve">  ΔΟΥ ΦΑΕ ΑΘΗΝΩΝ</w:t>
    </w:r>
  </w:p>
  <w:p w:rsidR="00B55505" w:rsidRPr="00CB66E4" w:rsidRDefault="00B55505" w:rsidP="00471EA2">
    <w:pPr>
      <w:pStyle w:val="Footer"/>
      <w:tabs>
        <w:tab w:val="left" w:pos="720"/>
      </w:tabs>
      <w:spacing w:after="80"/>
      <w:ind w:left="-720" w:right="-878"/>
      <w:jc w:val="right"/>
      <w:rPr>
        <w:rFonts w:ascii="Arial" w:hAnsi="Arial" w:cs="Arial"/>
        <w:b/>
        <w:bCs/>
        <w:spacing w:val="12"/>
        <w:position w:val="-2"/>
        <w:sz w:val="8"/>
        <w:szCs w:val="8"/>
        <w:lang w:val="el-GR"/>
      </w:rPr>
    </w:pPr>
  </w:p>
  <w:p w:rsidR="00B55505" w:rsidRPr="00E00D26" w:rsidRDefault="00B55505" w:rsidP="00471EA2">
    <w:pPr>
      <w:pStyle w:val="Footer"/>
      <w:tabs>
        <w:tab w:val="left" w:pos="720"/>
      </w:tabs>
      <w:spacing w:after="80"/>
      <w:ind w:left="-720" w:right="-878"/>
      <w:jc w:val="right"/>
      <w:rPr>
        <w:rFonts w:ascii="Arial" w:hAnsi="Arial" w:cs="Arial"/>
        <w:b/>
        <w:bCs/>
        <w:spacing w:val="12"/>
        <w:position w:val="-2"/>
        <w:sz w:val="16"/>
        <w:szCs w:val="16"/>
        <w:lang w:val="el-GR"/>
      </w:rPr>
    </w:pPr>
    <w:r>
      <w:rPr>
        <w:noProof/>
        <w:lang w:val="el-GR" w:eastAsia="el-GR"/>
      </w:rPr>
      <w:pict>
        <v:shapetype id="_x0000_t202" coordsize="21600,21600" o:spt="202" path="m,l,21600r21600,l21600,xe">
          <v:stroke joinstyle="miter"/>
          <v:path gradientshapeok="t" o:connecttype="rect"/>
        </v:shapetype>
        <v:shape id="_x0000_s2057" type="#_x0000_t202" style="position:absolute;left:0;text-align:left;margin-left:-89.85pt;margin-top:6.1pt;width:603pt;height:203.7pt;z-index:251653632" fillcolor="silver" strokecolor="silver">
          <v:textbox style="mso-next-textbox:#_x0000_s2057">
            <w:txbxContent>
              <w:p w:rsidR="00B55505" w:rsidRPr="00A6329D" w:rsidRDefault="00B55505" w:rsidP="00E00D26"/>
            </w:txbxContent>
          </v:textbox>
        </v:shape>
      </w:pict>
    </w:r>
  </w:p>
  <w:p w:rsidR="00B55505" w:rsidRPr="003E06BE" w:rsidRDefault="00B55505" w:rsidP="00471EA2">
    <w:pPr>
      <w:pStyle w:val="Footer"/>
      <w:tabs>
        <w:tab w:val="left" w:pos="720"/>
      </w:tabs>
      <w:spacing w:after="80"/>
      <w:ind w:left="-720" w:right="-873"/>
      <w:jc w:val="center"/>
      <w:rPr>
        <w:rFonts w:ascii="Tahoma" w:hAnsi="Tahoma" w:cs="Tahoma"/>
        <w:b/>
        <w:bCs/>
        <w:sz w:val="4"/>
        <w:szCs w:val="4"/>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05" w:rsidRDefault="00B55505">
      <w:r>
        <w:separator/>
      </w:r>
    </w:p>
  </w:footnote>
  <w:footnote w:type="continuationSeparator" w:id="0">
    <w:p w:rsidR="00B55505" w:rsidRDefault="00B55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05" w:rsidRPr="00146CD5" w:rsidRDefault="00B55505">
    <w:pPr>
      <w:pStyle w:val="Header"/>
      <w:rPr>
        <w:rFonts w:ascii="Tahoma" w:hAnsi="Tahoma" w:cs="Tahoma"/>
        <w:sz w:val="22"/>
        <w:szCs w:val="22"/>
      </w:rPr>
    </w:pPr>
  </w:p>
  <w:p w:rsidR="00B55505" w:rsidRDefault="00B55505" w:rsidP="00D61585">
    <w:pPr>
      <w:pStyle w:val="Header"/>
      <w:jc w:val="center"/>
      <w:rPr>
        <w:rFonts w:ascii="Tahoma" w:hAnsi="Tahoma" w:cs="Tahoma"/>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68.25pt;mso-position-horizontal-relative:char;mso-position-vertical-relative:line">
          <v:imagedata r:id="rId1" o:title=""/>
        </v:shape>
      </w:pict>
    </w:r>
  </w:p>
  <w:p w:rsidR="00B55505" w:rsidRPr="00BA3EEE" w:rsidRDefault="00B55505">
    <w:pPr>
      <w:pStyle w:val="Header"/>
      <w:rPr>
        <w:rFonts w:ascii="Tahoma" w:hAnsi="Tahoma" w:cs="Tahoma"/>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05" w:rsidRPr="00146CD5" w:rsidRDefault="00B55505" w:rsidP="00F22FFA">
    <w:pPr>
      <w:pStyle w:val="Header"/>
      <w:rPr>
        <w:rFonts w:ascii="Tahoma" w:hAnsi="Tahoma" w:cs="Tahoma"/>
        <w:sz w:val="22"/>
        <w:szCs w:val="22"/>
      </w:rPr>
    </w:pPr>
  </w:p>
  <w:p w:rsidR="00B55505" w:rsidRPr="00146CD5" w:rsidRDefault="00B55505" w:rsidP="00146CD5">
    <w:pPr>
      <w:pStyle w:val="Header"/>
      <w:jc w:val="center"/>
      <w:rPr>
        <w:rFonts w:ascii="Tahoma" w:hAnsi="Tahoma" w:cs="Tahoma"/>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68.25pt;mso-position-horizontal-relative:char;mso-position-vertical-relative:line">
          <v:imagedata r:id="rId1" o:title=""/>
        </v:shape>
      </w:pict>
    </w:r>
  </w:p>
  <w:p w:rsidR="00B55505" w:rsidRPr="00BA3EEE" w:rsidRDefault="00B55505" w:rsidP="00F22FFA">
    <w:pPr>
      <w:pStyle w:val="Header"/>
      <w:rPr>
        <w:rFonts w:ascii="Tahoma" w:hAnsi="Tahoma" w:cs="Tahoma"/>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D3B2F"/>
    <w:multiLevelType w:val="hybridMultilevel"/>
    <w:tmpl w:val="68609242"/>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1">
    <w:nsid w:val="746B6D32"/>
    <w:multiLevelType w:val="hybridMultilevel"/>
    <w:tmpl w:val="B32E8328"/>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hint="default"/>
      </w:rPr>
    </w:lvl>
    <w:lvl w:ilvl="8" w:tplc="04080005" w:tentative="1">
      <w:start w:val="1"/>
      <w:numFmt w:val="bullet"/>
      <w:lvlText w:val=""/>
      <w:lvlJc w:val="left"/>
      <w:pPr>
        <w:ind w:left="653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defaultTabStop w:val="720"/>
  <w:doNotHyphenateCaps/>
  <w:doNotShadeFormData/>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446"/>
    <w:rsid w:val="00005C6E"/>
    <w:rsid w:val="000139AB"/>
    <w:rsid w:val="00021B7F"/>
    <w:rsid w:val="00024F65"/>
    <w:rsid w:val="0003103C"/>
    <w:rsid w:val="00035DC9"/>
    <w:rsid w:val="00044229"/>
    <w:rsid w:val="00056D96"/>
    <w:rsid w:val="00082762"/>
    <w:rsid w:val="00086889"/>
    <w:rsid w:val="00091342"/>
    <w:rsid w:val="000D5061"/>
    <w:rsid w:val="000E0A29"/>
    <w:rsid w:val="001014A1"/>
    <w:rsid w:val="00104904"/>
    <w:rsid w:val="00122D8B"/>
    <w:rsid w:val="00142820"/>
    <w:rsid w:val="00146CD5"/>
    <w:rsid w:val="00150A23"/>
    <w:rsid w:val="001828DC"/>
    <w:rsid w:val="00182B41"/>
    <w:rsid w:val="001C7713"/>
    <w:rsid w:val="00214B04"/>
    <w:rsid w:val="00224C84"/>
    <w:rsid w:val="0023352C"/>
    <w:rsid w:val="0023379C"/>
    <w:rsid w:val="002453A3"/>
    <w:rsid w:val="00246774"/>
    <w:rsid w:val="00256A7B"/>
    <w:rsid w:val="002665A6"/>
    <w:rsid w:val="002808D4"/>
    <w:rsid w:val="00281C28"/>
    <w:rsid w:val="00282120"/>
    <w:rsid w:val="00287560"/>
    <w:rsid w:val="00293372"/>
    <w:rsid w:val="002954D4"/>
    <w:rsid w:val="002A1F80"/>
    <w:rsid w:val="002A6996"/>
    <w:rsid w:val="002F75CE"/>
    <w:rsid w:val="00301819"/>
    <w:rsid w:val="003205B4"/>
    <w:rsid w:val="003206EE"/>
    <w:rsid w:val="00321518"/>
    <w:rsid w:val="003227AC"/>
    <w:rsid w:val="00333003"/>
    <w:rsid w:val="00335623"/>
    <w:rsid w:val="00340F59"/>
    <w:rsid w:val="00362EBC"/>
    <w:rsid w:val="00393596"/>
    <w:rsid w:val="00395689"/>
    <w:rsid w:val="003A26CB"/>
    <w:rsid w:val="003A38B9"/>
    <w:rsid w:val="003A3929"/>
    <w:rsid w:val="003A55C9"/>
    <w:rsid w:val="003B7C7F"/>
    <w:rsid w:val="003E06BE"/>
    <w:rsid w:val="003F2137"/>
    <w:rsid w:val="00433446"/>
    <w:rsid w:val="00442788"/>
    <w:rsid w:val="00471EA2"/>
    <w:rsid w:val="0047579F"/>
    <w:rsid w:val="00480FCE"/>
    <w:rsid w:val="00481C8D"/>
    <w:rsid w:val="00481F09"/>
    <w:rsid w:val="00494442"/>
    <w:rsid w:val="004A7E6C"/>
    <w:rsid w:val="004B5AA7"/>
    <w:rsid w:val="004C1408"/>
    <w:rsid w:val="004C74AD"/>
    <w:rsid w:val="004D666D"/>
    <w:rsid w:val="004F10CD"/>
    <w:rsid w:val="004F4A87"/>
    <w:rsid w:val="00521AAD"/>
    <w:rsid w:val="0052325F"/>
    <w:rsid w:val="0054593C"/>
    <w:rsid w:val="0057720B"/>
    <w:rsid w:val="005A2A42"/>
    <w:rsid w:val="005B51AF"/>
    <w:rsid w:val="005C462C"/>
    <w:rsid w:val="005C7726"/>
    <w:rsid w:val="005E0F42"/>
    <w:rsid w:val="005E50A2"/>
    <w:rsid w:val="005F7941"/>
    <w:rsid w:val="0060309B"/>
    <w:rsid w:val="0061234C"/>
    <w:rsid w:val="00625B2D"/>
    <w:rsid w:val="0063255E"/>
    <w:rsid w:val="00652FAA"/>
    <w:rsid w:val="00661427"/>
    <w:rsid w:val="00680179"/>
    <w:rsid w:val="00695538"/>
    <w:rsid w:val="00695A87"/>
    <w:rsid w:val="006C4581"/>
    <w:rsid w:val="006D1DBD"/>
    <w:rsid w:val="006F155C"/>
    <w:rsid w:val="006F1C82"/>
    <w:rsid w:val="006F37C9"/>
    <w:rsid w:val="007107CC"/>
    <w:rsid w:val="00741CCE"/>
    <w:rsid w:val="0075514F"/>
    <w:rsid w:val="00786B5B"/>
    <w:rsid w:val="007A345B"/>
    <w:rsid w:val="007B45B5"/>
    <w:rsid w:val="007C14BA"/>
    <w:rsid w:val="007F3F53"/>
    <w:rsid w:val="00853AE1"/>
    <w:rsid w:val="008832F5"/>
    <w:rsid w:val="00886A0F"/>
    <w:rsid w:val="008B5F9D"/>
    <w:rsid w:val="008E4734"/>
    <w:rsid w:val="008F1FB0"/>
    <w:rsid w:val="00913373"/>
    <w:rsid w:val="009237EA"/>
    <w:rsid w:val="00934A80"/>
    <w:rsid w:val="00953549"/>
    <w:rsid w:val="0099434D"/>
    <w:rsid w:val="0099445E"/>
    <w:rsid w:val="009A7C91"/>
    <w:rsid w:val="009D272C"/>
    <w:rsid w:val="009D5885"/>
    <w:rsid w:val="009E0694"/>
    <w:rsid w:val="009E7F2F"/>
    <w:rsid w:val="009F7D5B"/>
    <w:rsid w:val="00A15030"/>
    <w:rsid w:val="00A31544"/>
    <w:rsid w:val="00A31DED"/>
    <w:rsid w:val="00A34303"/>
    <w:rsid w:val="00A6329D"/>
    <w:rsid w:val="00AA2EE7"/>
    <w:rsid w:val="00AA3C32"/>
    <w:rsid w:val="00AE6F68"/>
    <w:rsid w:val="00AF25C6"/>
    <w:rsid w:val="00AF61C5"/>
    <w:rsid w:val="00B473E5"/>
    <w:rsid w:val="00B55505"/>
    <w:rsid w:val="00B876CA"/>
    <w:rsid w:val="00B97C34"/>
    <w:rsid w:val="00BA21E3"/>
    <w:rsid w:val="00BA3EEE"/>
    <w:rsid w:val="00BC170B"/>
    <w:rsid w:val="00BD47EA"/>
    <w:rsid w:val="00BE5A12"/>
    <w:rsid w:val="00BE6E0E"/>
    <w:rsid w:val="00BF0C87"/>
    <w:rsid w:val="00C306FF"/>
    <w:rsid w:val="00C561D5"/>
    <w:rsid w:val="00C8210F"/>
    <w:rsid w:val="00C9332C"/>
    <w:rsid w:val="00CB66E4"/>
    <w:rsid w:val="00CC717C"/>
    <w:rsid w:val="00CD6B28"/>
    <w:rsid w:val="00CD6B5B"/>
    <w:rsid w:val="00D031B8"/>
    <w:rsid w:val="00D05DB5"/>
    <w:rsid w:val="00D20949"/>
    <w:rsid w:val="00D2329D"/>
    <w:rsid w:val="00D32389"/>
    <w:rsid w:val="00D61585"/>
    <w:rsid w:val="00D66715"/>
    <w:rsid w:val="00D913FB"/>
    <w:rsid w:val="00D93813"/>
    <w:rsid w:val="00DA0821"/>
    <w:rsid w:val="00DA0ED4"/>
    <w:rsid w:val="00DA2D31"/>
    <w:rsid w:val="00DA56C2"/>
    <w:rsid w:val="00DB5B2E"/>
    <w:rsid w:val="00DC3C41"/>
    <w:rsid w:val="00DF76CC"/>
    <w:rsid w:val="00E00D26"/>
    <w:rsid w:val="00E02967"/>
    <w:rsid w:val="00E36DF9"/>
    <w:rsid w:val="00E42E33"/>
    <w:rsid w:val="00E54E72"/>
    <w:rsid w:val="00E979A2"/>
    <w:rsid w:val="00EA1818"/>
    <w:rsid w:val="00EB0D65"/>
    <w:rsid w:val="00EB6EAC"/>
    <w:rsid w:val="00EE44D9"/>
    <w:rsid w:val="00F05A22"/>
    <w:rsid w:val="00F12D6A"/>
    <w:rsid w:val="00F137BF"/>
    <w:rsid w:val="00F170B0"/>
    <w:rsid w:val="00F22FFA"/>
    <w:rsid w:val="00F47F1B"/>
    <w:rsid w:val="00F71C46"/>
    <w:rsid w:val="00F8386F"/>
    <w:rsid w:val="00F83A6A"/>
    <w:rsid w:val="00F875B4"/>
    <w:rsid w:val="00FB35C8"/>
    <w:rsid w:val="00FD21AB"/>
    <w:rsid w:val="00FE770F"/>
    <w:rsid w:val="00FF40B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0F"/>
    <w:rPr>
      <w:rFonts w:ascii="dd" w:hAnsi="dd"/>
      <w:sz w:val="20"/>
      <w:szCs w:val="20"/>
      <w:lang w:val="en-GB" w:eastAsia="en-US"/>
    </w:rPr>
  </w:style>
  <w:style w:type="paragraph" w:styleId="Heading1">
    <w:name w:val="heading 1"/>
    <w:basedOn w:val="Normal"/>
    <w:next w:val="Normal"/>
    <w:link w:val="Heading1Char"/>
    <w:uiPriority w:val="99"/>
    <w:qFormat/>
    <w:rsid w:val="00C8210F"/>
    <w:pPr>
      <w:keepNext/>
      <w:outlineLvl w:val="0"/>
    </w:pPr>
    <w:rPr>
      <w:rFonts w:ascii="Tahoma" w:hAnsi="Tahoma" w:cs="Tahoma"/>
      <w:b/>
      <w:bCs/>
      <w:sz w:val="16"/>
      <w:szCs w:val="1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3F53"/>
    <w:rPr>
      <w:rFonts w:ascii="Cambria" w:hAnsi="Cambria" w:cs="Times New Roman"/>
      <w:b/>
      <w:bCs/>
      <w:kern w:val="32"/>
      <w:sz w:val="32"/>
      <w:szCs w:val="32"/>
      <w:lang w:val="en-GB" w:eastAsia="en-US"/>
    </w:rPr>
  </w:style>
  <w:style w:type="paragraph" w:styleId="Header">
    <w:name w:val="header"/>
    <w:basedOn w:val="Normal"/>
    <w:link w:val="HeaderChar"/>
    <w:uiPriority w:val="99"/>
    <w:semiHidden/>
    <w:rsid w:val="00C8210F"/>
    <w:pPr>
      <w:tabs>
        <w:tab w:val="center" w:pos="4153"/>
        <w:tab w:val="right" w:pos="8306"/>
      </w:tabs>
    </w:pPr>
  </w:style>
  <w:style w:type="character" w:customStyle="1" w:styleId="HeaderChar">
    <w:name w:val="Header Char"/>
    <w:basedOn w:val="DefaultParagraphFont"/>
    <w:link w:val="Header"/>
    <w:uiPriority w:val="99"/>
    <w:semiHidden/>
    <w:locked/>
    <w:rsid w:val="007F3F53"/>
    <w:rPr>
      <w:rFonts w:ascii="dd" w:hAnsi="dd" w:cs="Times New Roman"/>
      <w:sz w:val="20"/>
      <w:szCs w:val="20"/>
      <w:lang w:val="en-GB" w:eastAsia="en-US"/>
    </w:rPr>
  </w:style>
  <w:style w:type="paragraph" w:styleId="Footer">
    <w:name w:val="footer"/>
    <w:basedOn w:val="Normal"/>
    <w:link w:val="FooterChar1"/>
    <w:uiPriority w:val="99"/>
    <w:rsid w:val="00C8210F"/>
    <w:pPr>
      <w:tabs>
        <w:tab w:val="center" w:pos="4153"/>
        <w:tab w:val="right" w:pos="8306"/>
      </w:tabs>
    </w:pPr>
  </w:style>
  <w:style w:type="character" w:customStyle="1" w:styleId="FooterChar">
    <w:name w:val="Footer Char"/>
    <w:basedOn w:val="DefaultParagraphFont"/>
    <w:link w:val="Footer"/>
    <w:uiPriority w:val="99"/>
    <w:semiHidden/>
    <w:locked/>
    <w:rsid w:val="00E00D26"/>
    <w:rPr>
      <w:rFonts w:cs="Times New Roman"/>
    </w:rPr>
  </w:style>
  <w:style w:type="character" w:styleId="PageNumber">
    <w:name w:val="page number"/>
    <w:basedOn w:val="DefaultParagraphFont"/>
    <w:uiPriority w:val="99"/>
    <w:semiHidden/>
    <w:rsid w:val="00C8210F"/>
    <w:rPr>
      <w:rFonts w:ascii="Tahoma" w:hAnsi="Tahoma" w:cs="Times New Roman"/>
      <w:sz w:val="22"/>
    </w:rPr>
  </w:style>
  <w:style w:type="character" w:styleId="Hyperlink">
    <w:name w:val="Hyperlink"/>
    <w:basedOn w:val="DefaultParagraphFont"/>
    <w:uiPriority w:val="99"/>
    <w:rsid w:val="00F22FFA"/>
    <w:rPr>
      <w:rFonts w:cs="Times New Roman"/>
      <w:color w:val="0000FF"/>
      <w:u w:val="single"/>
    </w:rPr>
  </w:style>
  <w:style w:type="character" w:customStyle="1" w:styleId="FooterChar1">
    <w:name w:val="Footer Char1"/>
    <w:link w:val="Footer"/>
    <w:uiPriority w:val="99"/>
    <w:locked/>
    <w:rsid w:val="00786B5B"/>
    <w:rPr>
      <w:rFonts w:ascii="dd" w:hAnsi="dd"/>
      <w:lang w:val="en-GB" w:eastAsia="en-US"/>
    </w:rPr>
  </w:style>
  <w:style w:type="paragraph" w:styleId="ListParagraph">
    <w:name w:val="List Paragraph"/>
    <w:basedOn w:val="Normal"/>
    <w:uiPriority w:val="99"/>
    <w:qFormat/>
    <w:rsid w:val="000E0A29"/>
    <w:pPr>
      <w:spacing w:after="200" w:line="276" w:lineRule="auto"/>
      <w:ind w:left="720"/>
      <w:contextualSpacing/>
    </w:pPr>
    <w:rPr>
      <w:rFonts w:ascii="Calibri" w:hAnsi="Calibri"/>
      <w:sz w:val="22"/>
      <w:szCs w:val="22"/>
      <w:lang w:val="el-GR"/>
    </w:rPr>
  </w:style>
  <w:style w:type="character" w:customStyle="1" w:styleId="Bodytext2Bold">
    <w:name w:val="Body text (2) + Bold"/>
    <w:uiPriority w:val="99"/>
    <w:rsid w:val="000E0A29"/>
    <w:rPr>
      <w:rFonts w:ascii="Times New Roman" w:hAnsi="Times New Roman"/>
      <w:b/>
      <w:color w:val="000000"/>
      <w:spacing w:val="0"/>
      <w:w w:val="100"/>
      <w:position w:val="0"/>
      <w:sz w:val="24"/>
      <w:u w:val="none"/>
      <w:lang w:val="el-GR" w:eastAsia="el-GR"/>
    </w:rPr>
  </w:style>
  <w:style w:type="paragraph" w:customStyle="1" w:styleId="Alex">
    <w:name w:val="Alex"/>
    <w:basedOn w:val="BodyText"/>
    <w:uiPriority w:val="99"/>
    <w:rsid w:val="00953549"/>
    <w:pPr>
      <w:spacing w:after="0"/>
      <w:jc w:val="both"/>
    </w:pPr>
    <w:rPr>
      <w:rFonts w:ascii="Book Antiqua" w:hAnsi="Book Antiqua"/>
      <w:bCs/>
      <w:szCs w:val="24"/>
      <w:lang w:val="el-GR" w:eastAsia="el-GR"/>
    </w:rPr>
  </w:style>
  <w:style w:type="paragraph" w:styleId="BodyText">
    <w:name w:val="Body Text"/>
    <w:basedOn w:val="Normal"/>
    <w:link w:val="BodyTextChar"/>
    <w:uiPriority w:val="99"/>
    <w:rsid w:val="00953549"/>
    <w:pPr>
      <w:spacing w:after="120"/>
    </w:pPr>
  </w:style>
  <w:style w:type="character" w:customStyle="1" w:styleId="BodyTextChar">
    <w:name w:val="Body Text Char"/>
    <w:basedOn w:val="DefaultParagraphFont"/>
    <w:link w:val="BodyText"/>
    <w:uiPriority w:val="99"/>
    <w:semiHidden/>
    <w:locked/>
    <w:rsid w:val="00481F09"/>
    <w:rPr>
      <w:rFonts w:ascii="dd" w:hAnsi="dd"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802389062">
      <w:marLeft w:val="0"/>
      <w:marRight w:val="0"/>
      <w:marTop w:val="0"/>
      <w:marBottom w:val="0"/>
      <w:divBdr>
        <w:top w:val="none" w:sz="0" w:space="0" w:color="auto"/>
        <w:left w:val="none" w:sz="0" w:space="0" w:color="auto"/>
        <w:bottom w:val="none" w:sz="0" w:space="0" w:color="auto"/>
        <w:right w:val="none" w:sz="0" w:space="0" w:color="auto"/>
      </w:divBdr>
    </w:div>
    <w:div w:id="802389063">
      <w:marLeft w:val="0"/>
      <w:marRight w:val="0"/>
      <w:marTop w:val="0"/>
      <w:marBottom w:val="0"/>
      <w:divBdr>
        <w:top w:val="none" w:sz="0" w:space="0" w:color="auto"/>
        <w:left w:val="none" w:sz="0" w:space="0" w:color="auto"/>
        <w:bottom w:val="none" w:sz="0" w:space="0" w:color="auto"/>
        <w:right w:val="none" w:sz="0" w:space="0" w:color="auto"/>
      </w:divBdr>
    </w:div>
    <w:div w:id="802389064">
      <w:marLeft w:val="0"/>
      <w:marRight w:val="0"/>
      <w:marTop w:val="0"/>
      <w:marBottom w:val="0"/>
      <w:divBdr>
        <w:top w:val="none" w:sz="0" w:space="0" w:color="auto"/>
        <w:left w:val="none" w:sz="0" w:space="0" w:color="auto"/>
        <w:bottom w:val="none" w:sz="0" w:space="0" w:color="auto"/>
        <w:right w:val="none" w:sz="0" w:space="0" w:color="auto"/>
      </w:divBdr>
    </w:div>
    <w:div w:id="802389065">
      <w:marLeft w:val="0"/>
      <w:marRight w:val="0"/>
      <w:marTop w:val="0"/>
      <w:marBottom w:val="0"/>
      <w:divBdr>
        <w:top w:val="none" w:sz="0" w:space="0" w:color="auto"/>
        <w:left w:val="none" w:sz="0" w:space="0" w:color="auto"/>
        <w:bottom w:val="none" w:sz="0" w:space="0" w:color="auto"/>
        <w:right w:val="none" w:sz="0" w:space="0" w:color="auto"/>
      </w:divBdr>
    </w:div>
    <w:div w:id="802389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vestors.opap.gr/el-GR/investors-information/debt-investors/www.hcmc.gr/el_GR/web/portal/elib/deltia"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703</Words>
  <Characters>3797</Characters>
  <Application>Microsoft Office Outlook</Application>
  <DocSecurity>0</DocSecurity>
  <Lines>0</Lines>
  <Paragraphs>0</Paragraphs>
  <ScaleCrop>false</ScaleCrop>
  <Company>Tradelink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 - Hellenic</dc:title>
  <dc:subject/>
  <dc:creator>Chrysa Mylonaki</dc:creator>
  <cp:keywords/>
  <dc:description/>
  <cp:lastModifiedBy>Angelos Kiosklis</cp:lastModifiedBy>
  <cp:revision>7</cp:revision>
  <cp:lastPrinted>2019-04-19T13:22:00Z</cp:lastPrinted>
  <dcterms:created xsi:type="dcterms:W3CDTF">2020-01-20T08:17:00Z</dcterms:created>
  <dcterms:modified xsi:type="dcterms:W3CDTF">2020-01-20T13:53:00Z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0x010100F58D1D1700681F4797F3D7DB6D48B944</vt:lpwstr>
  </property>
</Properties>
</file>