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93" w:rsidRPr="00043E93" w:rsidRDefault="002A55CD" w:rsidP="00043E93">
      <w:pPr>
        <w:jc w:val="right"/>
        <w:rPr>
          <w:rFonts w:ascii="Tahoma" w:hAnsi="Tahoma" w:cs="Tahoma"/>
          <w:color w:val="000000"/>
          <w:sz w:val="22"/>
          <w:szCs w:val="22"/>
        </w:rPr>
      </w:pPr>
      <w:bookmarkStart w:id="0" w:name="_GoBack"/>
      <w:bookmarkEnd w:id="0"/>
      <w:r>
        <w:rPr>
          <w:rFonts w:ascii="Tahoma" w:hAnsi="Tahoma" w:cs="Tahoma"/>
          <w:color w:val="000000"/>
          <w:sz w:val="22"/>
          <w:szCs w:val="22"/>
        </w:rPr>
        <w:t xml:space="preserve">Αθήνα, Πέμπτη </w:t>
      </w:r>
      <w:r w:rsidR="0061281A">
        <w:rPr>
          <w:rFonts w:ascii="Tahoma" w:hAnsi="Tahoma" w:cs="Tahoma"/>
          <w:color w:val="000000"/>
          <w:sz w:val="22"/>
          <w:szCs w:val="22"/>
          <w:lang w:val="en-US"/>
        </w:rPr>
        <w:t xml:space="preserve">29 </w:t>
      </w:r>
      <w:r w:rsidR="0061281A">
        <w:rPr>
          <w:rFonts w:ascii="Tahoma" w:hAnsi="Tahoma" w:cs="Tahoma"/>
          <w:color w:val="000000"/>
          <w:sz w:val="22"/>
          <w:szCs w:val="22"/>
        </w:rPr>
        <w:t>Σεπτεμβρίου</w:t>
      </w:r>
      <w:r w:rsidR="00043E93" w:rsidRPr="00043E93">
        <w:rPr>
          <w:rFonts w:ascii="Tahoma" w:hAnsi="Tahoma" w:cs="Tahoma"/>
          <w:color w:val="000000"/>
          <w:sz w:val="22"/>
          <w:szCs w:val="22"/>
        </w:rPr>
        <w:t xml:space="preserve"> 201</w:t>
      </w:r>
      <w:r>
        <w:rPr>
          <w:rFonts w:ascii="Tahoma" w:hAnsi="Tahoma" w:cs="Tahoma"/>
          <w:color w:val="000000"/>
          <w:sz w:val="22"/>
          <w:szCs w:val="22"/>
        </w:rPr>
        <w:t>6</w:t>
      </w:r>
    </w:p>
    <w:p w:rsidR="00043E93" w:rsidRPr="00043E93" w:rsidRDefault="00043E93" w:rsidP="00043E93">
      <w:pPr>
        <w:jc w:val="right"/>
        <w:rPr>
          <w:rFonts w:ascii="Tahoma" w:hAnsi="Tahoma" w:cs="Tahoma"/>
          <w:color w:val="000000"/>
          <w:sz w:val="22"/>
          <w:szCs w:val="22"/>
        </w:rPr>
      </w:pPr>
    </w:p>
    <w:p w:rsidR="00375F0C" w:rsidRPr="007F1A4D" w:rsidRDefault="00375F0C" w:rsidP="00375F0C">
      <w:pPr>
        <w:spacing w:line="320" w:lineRule="atLeast"/>
        <w:ind w:left="360"/>
        <w:jc w:val="both"/>
        <w:rPr>
          <w:rFonts w:ascii="Tahoma" w:hAnsi="Tahoma" w:cs="Tahoma"/>
          <w:sz w:val="22"/>
          <w:szCs w:val="22"/>
        </w:rPr>
      </w:pPr>
      <w:r w:rsidRPr="007F1A4D">
        <w:rPr>
          <w:rFonts w:ascii="Tahoma" w:hAnsi="Tahoma" w:cs="Tahoma"/>
          <w:sz w:val="22"/>
          <w:szCs w:val="22"/>
        </w:rPr>
        <w:t>Στο πλαίσιο της δημοσίευσης των οικονομικών καταστάσ</w:t>
      </w:r>
      <w:r w:rsidR="00E9368D">
        <w:rPr>
          <w:rFonts w:ascii="Tahoma" w:hAnsi="Tahoma" w:cs="Tahoma"/>
          <w:sz w:val="22"/>
          <w:szCs w:val="22"/>
        </w:rPr>
        <w:t>εων της περιόδου 01.01.201</w:t>
      </w:r>
      <w:r w:rsidR="00E9368D" w:rsidRPr="00E9368D">
        <w:rPr>
          <w:rFonts w:ascii="Tahoma" w:hAnsi="Tahoma" w:cs="Tahoma"/>
          <w:sz w:val="22"/>
          <w:szCs w:val="22"/>
        </w:rPr>
        <w:t>6</w:t>
      </w:r>
      <w:r>
        <w:rPr>
          <w:rFonts w:ascii="Tahoma" w:hAnsi="Tahoma" w:cs="Tahoma"/>
          <w:sz w:val="22"/>
          <w:szCs w:val="22"/>
        </w:rPr>
        <w:t xml:space="preserve"> - </w:t>
      </w:r>
      <w:r w:rsidR="00E9368D">
        <w:rPr>
          <w:rFonts w:ascii="Tahoma" w:hAnsi="Tahoma" w:cs="Tahoma"/>
          <w:sz w:val="22"/>
          <w:szCs w:val="22"/>
        </w:rPr>
        <w:t>30.</w:t>
      </w:r>
      <w:r w:rsidR="00E9368D" w:rsidRPr="00E9368D">
        <w:rPr>
          <w:rFonts w:ascii="Tahoma" w:hAnsi="Tahoma" w:cs="Tahoma"/>
          <w:sz w:val="22"/>
          <w:szCs w:val="22"/>
        </w:rPr>
        <w:t>06</w:t>
      </w:r>
      <w:r w:rsidR="00E9368D">
        <w:rPr>
          <w:rFonts w:ascii="Tahoma" w:hAnsi="Tahoma" w:cs="Tahoma"/>
          <w:sz w:val="22"/>
          <w:szCs w:val="22"/>
        </w:rPr>
        <w:t>.2016</w:t>
      </w:r>
      <w:r w:rsidRPr="007F1A4D">
        <w:rPr>
          <w:rFonts w:ascii="Tahoma" w:hAnsi="Tahoma" w:cs="Tahoma"/>
          <w:sz w:val="22"/>
          <w:szCs w:val="22"/>
        </w:rPr>
        <w:t xml:space="preserve"> της Ανώνυμης Εταιρ</w:t>
      </w:r>
      <w:r>
        <w:rPr>
          <w:rFonts w:ascii="Tahoma" w:hAnsi="Tahoma" w:cs="Tahoma"/>
          <w:sz w:val="22"/>
          <w:szCs w:val="22"/>
        </w:rPr>
        <w:t>ε</w:t>
      </w:r>
      <w:r w:rsidRPr="007F1A4D">
        <w:rPr>
          <w:rFonts w:ascii="Tahoma" w:hAnsi="Tahoma" w:cs="Tahoma"/>
          <w:sz w:val="22"/>
          <w:szCs w:val="22"/>
        </w:rPr>
        <w:t>ίας ΣΙΔΜΑ Α.Ε. (εφεξής η "Εταιρ</w:t>
      </w:r>
      <w:r>
        <w:rPr>
          <w:rFonts w:ascii="Tahoma" w:hAnsi="Tahoma" w:cs="Tahoma"/>
          <w:sz w:val="22"/>
          <w:szCs w:val="22"/>
        </w:rPr>
        <w:t>ε</w:t>
      </w:r>
      <w:r w:rsidRPr="007F1A4D">
        <w:rPr>
          <w:rFonts w:ascii="Tahoma" w:hAnsi="Tahoma" w:cs="Tahoma"/>
          <w:sz w:val="22"/>
          <w:szCs w:val="22"/>
        </w:rPr>
        <w:t>ία"), κατ' εφαρμογή της παρ. 4.1.4.4. του Κανονισμού του Χ.Α., η Εταιρ</w:t>
      </w:r>
      <w:r>
        <w:rPr>
          <w:rFonts w:ascii="Tahoma" w:hAnsi="Tahoma" w:cs="Tahoma"/>
          <w:sz w:val="22"/>
          <w:szCs w:val="22"/>
        </w:rPr>
        <w:t>ε</w:t>
      </w:r>
      <w:r w:rsidRPr="007F1A4D">
        <w:rPr>
          <w:rFonts w:ascii="Tahoma" w:hAnsi="Tahoma" w:cs="Tahoma"/>
          <w:sz w:val="22"/>
          <w:szCs w:val="22"/>
        </w:rPr>
        <w:t xml:space="preserve">ία γνωστοποιεί προς το επενδυτικό κοινό ότι το σύνολο των μετοχών της </w:t>
      </w:r>
      <w:r>
        <w:rPr>
          <w:rFonts w:ascii="Tahoma" w:hAnsi="Tahoma" w:cs="Tahoma"/>
          <w:sz w:val="22"/>
          <w:szCs w:val="22"/>
        </w:rPr>
        <w:t>μεταφέρθηκε</w:t>
      </w:r>
      <w:r w:rsidRPr="007F1A4D">
        <w:rPr>
          <w:rFonts w:ascii="Tahoma" w:hAnsi="Tahoma" w:cs="Tahoma"/>
          <w:sz w:val="22"/>
          <w:szCs w:val="22"/>
        </w:rPr>
        <w:t xml:space="preserve"> στην κατηγορία Επιτήρησης, </w:t>
      </w:r>
      <w:r>
        <w:rPr>
          <w:rFonts w:ascii="Tahoma" w:hAnsi="Tahoma" w:cs="Tahoma"/>
          <w:sz w:val="22"/>
          <w:szCs w:val="22"/>
        </w:rPr>
        <w:t>την</w:t>
      </w:r>
      <w:r w:rsidRPr="007F1A4D">
        <w:rPr>
          <w:rFonts w:ascii="Tahoma" w:hAnsi="Tahoma" w:cs="Tahoma"/>
          <w:sz w:val="22"/>
          <w:szCs w:val="22"/>
        </w:rPr>
        <w:t xml:space="preserve"> </w:t>
      </w:r>
      <w:r w:rsidRPr="007761BF">
        <w:rPr>
          <w:rFonts w:ascii="Tahoma" w:hAnsi="Tahoma" w:cs="Tahoma"/>
          <w:sz w:val="22"/>
          <w:szCs w:val="22"/>
        </w:rPr>
        <w:t>10.4.201</w:t>
      </w:r>
      <w:r>
        <w:rPr>
          <w:rFonts w:ascii="Tahoma" w:hAnsi="Tahoma" w:cs="Tahoma"/>
          <w:sz w:val="22"/>
          <w:szCs w:val="22"/>
        </w:rPr>
        <w:t>2</w:t>
      </w:r>
      <w:r w:rsidRPr="007F1A4D">
        <w:rPr>
          <w:rFonts w:ascii="Tahoma" w:hAnsi="Tahoma" w:cs="Tahoma"/>
          <w:sz w:val="22"/>
          <w:szCs w:val="22"/>
        </w:rPr>
        <w:t xml:space="preserve"> </w:t>
      </w:r>
      <w:r>
        <w:rPr>
          <w:rFonts w:ascii="Tahoma" w:hAnsi="Tahoma" w:cs="Tahoma"/>
          <w:sz w:val="22"/>
          <w:szCs w:val="22"/>
        </w:rPr>
        <w:t xml:space="preserve">σύμφωνα με </w:t>
      </w:r>
      <w:r w:rsidRPr="007F1A4D">
        <w:rPr>
          <w:rFonts w:ascii="Tahoma" w:hAnsi="Tahoma" w:cs="Tahoma"/>
          <w:sz w:val="22"/>
          <w:szCs w:val="22"/>
        </w:rPr>
        <w:t xml:space="preserve">την από </w:t>
      </w:r>
      <w:r w:rsidRPr="007761BF">
        <w:rPr>
          <w:rFonts w:ascii="Tahoma" w:hAnsi="Tahoma" w:cs="Tahoma"/>
          <w:sz w:val="22"/>
          <w:szCs w:val="22"/>
        </w:rPr>
        <w:t>5.4.201</w:t>
      </w:r>
      <w:r>
        <w:rPr>
          <w:rFonts w:ascii="Tahoma" w:hAnsi="Tahoma" w:cs="Tahoma"/>
          <w:sz w:val="22"/>
          <w:szCs w:val="22"/>
        </w:rPr>
        <w:t>2</w:t>
      </w:r>
      <w:r w:rsidRPr="007F1A4D">
        <w:rPr>
          <w:rFonts w:ascii="Tahoma" w:hAnsi="Tahoma" w:cs="Tahoma"/>
          <w:sz w:val="22"/>
          <w:szCs w:val="22"/>
        </w:rPr>
        <w:t xml:space="preserve"> απόφαση του Δ.Σ. του Χ.Α., κατ' εφαρμογή του άρθρου 3.1.2.5 του Κανονισμού του Χ.Α., επειδή οι λογιστικές ζημίες της χ</w:t>
      </w:r>
      <w:r>
        <w:rPr>
          <w:rFonts w:ascii="Tahoma" w:hAnsi="Tahoma" w:cs="Tahoma"/>
          <w:sz w:val="22"/>
          <w:szCs w:val="22"/>
        </w:rPr>
        <w:t>ρήσεως που έληξε στις 31.12.2011</w:t>
      </w:r>
      <w:r w:rsidRPr="007F1A4D">
        <w:rPr>
          <w:rFonts w:ascii="Tahoma" w:hAnsi="Tahoma" w:cs="Tahoma"/>
          <w:sz w:val="22"/>
          <w:szCs w:val="22"/>
        </w:rPr>
        <w:t xml:space="preserve"> είχαν διαμορφωθεί σε επίπεδο μεγαλύτερο από το 30% της καθαρής θέσης της Εταιρείας. </w:t>
      </w:r>
    </w:p>
    <w:p w:rsidR="00375F0C" w:rsidRDefault="00375F0C" w:rsidP="00375F0C">
      <w:pPr>
        <w:spacing w:line="320" w:lineRule="atLeast"/>
        <w:ind w:left="360"/>
        <w:jc w:val="both"/>
        <w:rPr>
          <w:rFonts w:ascii="Tahoma" w:hAnsi="Tahoma" w:cs="Tahoma"/>
          <w:sz w:val="22"/>
          <w:szCs w:val="22"/>
        </w:rPr>
      </w:pPr>
    </w:p>
    <w:p w:rsidR="00375F0C" w:rsidRDefault="00375F0C" w:rsidP="00375F0C">
      <w:pPr>
        <w:spacing w:line="320" w:lineRule="atLeast"/>
        <w:ind w:left="360"/>
        <w:jc w:val="both"/>
        <w:rPr>
          <w:rFonts w:ascii="Tahoma" w:hAnsi="Tahoma" w:cs="Tahoma"/>
          <w:sz w:val="22"/>
          <w:szCs w:val="22"/>
        </w:rPr>
      </w:pPr>
      <w:r w:rsidRPr="007761BF">
        <w:rPr>
          <w:rFonts w:ascii="Tahoma" w:hAnsi="Tahoma" w:cs="Tahoma"/>
          <w:sz w:val="22"/>
          <w:szCs w:val="22"/>
        </w:rPr>
        <w:t>Σύμφωνα με το άρθρο 3.1.2.6 παρ. 1,4 και 6 του κανονισμού του ΧΑ οι μετοχές της εταιρίας μπορούν να επανέλθουν σε καθεστώς κανονικής διαπραγμάτευσης εφόσον συντρέχουν οι προϋποθέσεις όπως ορίζονται στην παράγραφο 4 περιπτώσεις (α), (β), (γ), μετά από αίτηση του εκδότη και με βάση τις οικονομικές καταστάσεις κάθε ημερολογιακού εξαμήνου.</w:t>
      </w:r>
    </w:p>
    <w:p w:rsidR="008C1FC7" w:rsidRDefault="008C1FC7" w:rsidP="00375F0C">
      <w:pPr>
        <w:spacing w:line="320" w:lineRule="atLeast"/>
        <w:ind w:left="360"/>
        <w:jc w:val="both"/>
        <w:rPr>
          <w:rFonts w:ascii="Tahoma" w:hAnsi="Tahoma" w:cs="Tahoma"/>
          <w:sz w:val="22"/>
          <w:szCs w:val="22"/>
        </w:rPr>
      </w:pPr>
    </w:p>
    <w:p w:rsidR="007D0ED3" w:rsidRPr="007D0ED3" w:rsidRDefault="007D0ED3" w:rsidP="007D0ED3">
      <w:pPr>
        <w:spacing w:line="320" w:lineRule="atLeast"/>
        <w:ind w:left="360"/>
        <w:jc w:val="both"/>
        <w:rPr>
          <w:rFonts w:ascii="Tahoma" w:hAnsi="Tahoma" w:cs="Tahoma"/>
          <w:sz w:val="22"/>
          <w:szCs w:val="22"/>
        </w:rPr>
      </w:pPr>
      <w:r w:rsidRPr="007D0ED3">
        <w:rPr>
          <w:rFonts w:ascii="Tahoma" w:hAnsi="Tahoma" w:cs="Tahoma"/>
          <w:sz w:val="22"/>
          <w:szCs w:val="22"/>
        </w:rPr>
        <w:t xml:space="preserve">Το πρώτο εξάμηνο του έτους ο Όμιλος ΣΙΔΜΑ κατέγραψε ανοδική πορεία όγκου πωλήσεων και σημαντική βελτίωση αποτελεσμάτων τόσο σε λειτουργικό όσο και σε προ φόρων επίπεδο, στην μητρική εταιρεία και στις θυγατρικές Ρουμανίας και Βουλγαρίας. </w:t>
      </w:r>
    </w:p>
    <w:p w:rsidR="008C1FC7" w:rsidRDefault="008C1FC7" w:rsidP="00375F0C">
      <w:pPr>
        <w:spacing w:line="320" w:lineRule="atLeast"/>
        <w:ind w:left="360"/>
        <w:jc w:val="both"/>
        <w:rPr>
          <w:rFonts w:ascii="Tahoma" w:hAnsi="Tahoma" w:cs="Tahoma"/>
          <w:sz w:val="22"/>
          <w:szCs w:val="22"/>
        </w:rPr>
      </w:pPr>
    </w:p>
    <w:p w:rsidR="007D0ED3" w:rsidRPr="007D0ED3" w:rsidRDefault="007D0ED3" w:rsidP="007D0ED3">
      <w:pPr>
        <w:spacing w:line="320" w:lineRule="atLeast"/>
        <w:ind w:left="360"/>
        <w:jc w:val="both"/>
        <w:rPr>
          <w:rFonts w:ascii="Tahoma" w:hAnsi="Tahoma" w:cs="Tahoma"/>
          <w:sz w:val="22"/>
          <w:szCs w:val="22"/>
        </w:rPr>
      </w:pPr>
      <w:r w:rsidRPr="007D0ED3">
        <w:rPr>
          <w:rFonts w:ascii="Tahoma" w:hAnsi="Tahoma" w:cs="Tahoma"/>
          <w:sz w:val="22"/>
          <w:szCs w:val="22"/>
        </w:rPr>
        <w:t>Η ρευστότητα του Ομίλου ανήλθε στα € 8,8 εκ.. Η Διοίκηση της εταιρείας προέβη τα τελευταία χρόνια σε μία σειρά ενεργειών που αφορούσαν αφενός μεν το δραστικό περιορισμό του κόστους λειτουργίας του Ομίλου και αφετέρου την ενδυνάμωση της δομής των λειτουργικών δραστηριοτήτων του. Η μείωση κόστους που επετεύχθη από την έναρξη της κρίσης ξεπερνά το 45%, αφορούσε δε την μείωση των δαπανών αμοιβών και εξόδων, την αναδιάρθρωση δομών και τον περιορισμό υποστηρικτικών δαπανών, χωρίς να επηρεαστεί η ομαλή λειτουργία του Ομίλου. Επιπλέον, η Διοίκηση του Ομίλου προβαίνει σε μία σειρά ενεργειών για την ενίσχυση της ρευστότητας και της χρηματοοικονομικής θέσης του όπου μεταξύ των άλλων περιλαμβάνουν την διάθεση στοιχείων του ενεργητικού, την περαιτέρω μείωση της πίστωσης που παρέχεται στους πελάτες και την ταυτόχρονη βελτίωση του ποσοστού μικτού κέρδους. Αξίζει να αναφέρουμε τη μείωση κατά 16,5% των ημερών πίστωσης που παρέχεται στους πελάτες και τη βελτίωση του ποσοστού μικτού κέρδους κατά 62% σε σχέση με την αντίστοιχη περυσινή περίοδο.</w:t>
      </w:r>
    </w:p>
    <w:p w:rsidR="008C1FC7" w:rsidRPr="007761BF" w:rsidRDefault="008C1FC7" w:rsidP="00375F0C">
      <w:pPr>
        <w:spacing w:line="320" w:lineRule="atLeast"/>
        <w:ind w:left="360"/>
        <w:jc w:val="both"/>
        <w:rPr>
          <w:rFonts w:ascii="Tahoma" w:hAnsi="Tahoma" w:cs="Tahoma"/>
          <w:sz w:val="22"/>
          <w:szCs w:val="22"/>
        </w:rPr>
      </w:pPr>
    </w:p>
    <w:p w:rsidR="00375F0C" w:rsidRDefault="00375F0C" w:rsidP="00375F0C">
      <w:pPr>
        <w:spacing w:line="320" w:lineRule="atLeast"/>
        <w:ind w:left="360"/>
        <w:jc w:val="both"/>
        <w:rPr>
          <w:rFonts w:ascii="Tahoma" w:hAnsi="Tahoma" w:cs="Tahoma"/>
          <w:sz w:val="22"/>
          <w:szCs w:val="22"/>
        </w:rPr>
      </w:pPr>
    </w:p>
    <w:p w:rsidR="00F357ED" w:rsidRPr="003E1607" w:rsidRDefault="00F357ED" w:rsidP="002A55CD">
      <w:pPr>
        <w:spacing w:line="320" w:lineRule="atLeast"/>
        <w:ind w:left="360"/>
        <w:jc w:val="both"/>
        <w:rPr>
          <w:rFonts w:ascii="Arial" w:hAnsi="Arial" w:cs="Arial"/>
          <w:sz w:val="22"/>
          <w:szCs w:val="22"/>
        </w:rPr>
      </w:pPr>
    </w:p>
    <w:p w:rsidR="00F357ED" w:rsidRPr="00E26142" w:rsidRDefault="00F357ED" w:rsidP="002809FD">
      <w:pPr>
        <w:spacing w:line="320" w:lineRule="atLeast"/>
        <w:ind w:left="360"/>
        <w:jc w:val="both"/>
        <w:rPr>
          <w:rFonts w:ascii="Tahoma" w:hAnsi="Tahoma" w:cs="Tahoma"/>
          <w:sz w:val="22"/>
          <w:szCs w:val="22"/>
        </w:rPr>
      </w:pPr>
    </w:p>
    <w:sectPr w:rsidR="00F357ED" w:rsidRPr="00E26142" w:rsidSect="00B523DB">
      <w:headerReference w:type="default" r:id="rId8"/>
      <w:pgSz w:w="11906" w:h="16838"/>
      <w:pgMar w:top="1440" w:right="113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02" w:rsidRDefault="00A85F02">
      <w:r>
        <w:separator/>
      </w:r>
    </w:p>
  </w:endnote>
  <w:endnote w:type="continuationSeparator" w:id="0">
    <w:p w:rsidR="00A85F02" w:rsidRDefault="00A8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02" w:rsidRDefault="00A85F02">
      <w:r>
        <w:separator/>
      </w:r>
    </w:p>
  </w:footnote>
  <w:footnote w:type="continuationSeparator" w:id="0">
    <w:p w:rsidR="00A85F02" w:rsidRDefault="00A8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BA" w:rsidRDefault="008045BA" w:rsidP="0040046E">
    <w:pPr>
      <w:pStyle w:val="Header"/>
      <w:jc w:val="both"/>
      <w:rPr>
        <w:lang w:val="en-US"/>
      </w:rPr>
    </w:pPr>
    <w:r>
      <w:object w:dxaOrig="6224"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44.75pt" o:ole="">
          <v:imagedata r:id="rId1" o:title=""/>
        </v:shape>
        <o:OLEObject Type="Embed" ProgID="MSPhotoEd.3" ShapeID="_x0000_i1025" DrawAspect="Content" ObjectID="_1536741341" r:id="rId2"/>
      </w:object>
    </w:r>
  </w:p>
  <w:p w:rsidR="008045BA" w:rsidRDefault="008045BA" w:rsidP="0040046E">
    <w:pPr>
      <w:pStyle w:val="Header"/>
      <w:jc w:val="both"/>
      <w:rPr>
        <w:lang w:val="en-US"/>
      </w:rPr>
    </w:pPr>
  </w:p>
  <w:p w:rsidR="008045BA" w:rsidRDefault="008045BA" w:rsidP="0040046E">
    <w:pPr>
      <w:pStyle w:val="Header"/>
      <w:rPr>
        <w:rFonts w:ascii="Tahoma" w:hAnsi="Tahoma" w:cs="Tahoma"/>
        <w:b/>
        <w:bCs/>
        <w:sz w:val="28"/>
      </w:rPr>
    </w:pPr>
  </w:p>
  <w:p w:rsidR="008045BA" w:rsidRPr="0032322F" w:rsidRDefault="008045BA" w:rsidP="0040046E">
    <w:pPr>
      <w:rPr>
        <w:rFonts w:ascii="Tahoma" w:hAnsi="Tahoma" w:cs="Tahoma"/>
        <w:b/>
      </w:rPr>
    </w:pPr>
    <w:r w:rsidRPr="0032322F">
      <w:rPr>
        <w:rFonts w:ascii="Tahoma" w:hAnsi="Tahoma" w:cs="Tahoma"/>
        <w:b/>
      </w:rPr>
      <w:t xml:space="preserve">Ανακοίνωση σύμφωνα με την παράγραφο 4.1.4.4 του Κανονισμού του Χ.Α.  </w:t>
    </w:r>
  </w:p>
  <w:p w:rsidR="008045BA" w:rsidRDefault="00804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46D0"/>
    <w:multiLevelType w:val="hybridMultilevel"/>
    <w:tmpl w:val="768C76DE"/>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A1C618D"/>
    <w:multiLevelType w:val="hybridMultilevel"/>
    <w:tmpl w:val="A5CAA59A"/>
    <w:lvl w:ilvl="0" w:tplc="0408000F">
      <w:start w:val="1"/>
      <w:numFmt w:val="decimal"/>
      <w:lvlText w:val="%1."/>
      <w:lvlJc w:val="left"/>
      <w:pPr>
        <w:tabs>
          <w:tab w:val="num" w:pos="1500"/>
        </w:tabs>
        <w:ind w:left="1500" w:hanging="360"/>
      </w:pPr>
    </w:lvl>
    <w:lvl w:ilvl="1" w:tplc="04080001">
      <w:start w:val="1"/>
      <w:numFmt w:val="bullet"/>
      <w:lvlText w:val=""/>
      <w:lvlJc w:val="left"/>
      <w:pPr>
        <w:tabs>
          <w:tab w:val="num" w:pos="2220"/>
        </w:tabs>
        <w:ind w:left="2220" w:hanging="360"/>
      </w:pPr>
      <w:rPr>
        <w:rFonts w:ascii="Symbol" w:hAnsi="Symbol" w:hint="default"/>
      </w:r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2">
    <w:nsid w:val="27657EBA"/>
    <w:multiLevelType w:val="hybridMultilevel"/>
    <w:tmpl w:val="E8F6A86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35790FAB"/>
    <w:multiLevelType w:val="hybridMultilevel"/>
    <w:tmpl w:val="981AC06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7E1C4344"/>
    <w:multiLevelType w:val="hybridMultilevel"/>
    <w:tmpl w:val="82D492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F455B2F"/>
    <w:multiLevelType w:val="hybridMultilevel"/>
    <w:tmpl w:val="A4D4F1C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2"/>
  </w:compat>
  <w:rsids>
    <w:rsidRoot w:val="003D5E58"/>
    <w:rsid w:val="00002597"/>
    <w:rsid w:val="000219E5"/>
    <w:rsid w:val="00027B26"/>
    <w:rsid w:val="00043E93"/>
    <w:rsid w:val="000743C9"/>
    <w:rsid w:val="0008645B"/>
    <w:rsid w:val="000A0B75"/>
    <w:rsid w:val="000A2B9C"/>
    <w:rsid w:val="000A6FBF"/>
    <w:rsid w:val="000A7F64"/>
    <w:rsid w:val="000C0502"/>
    <w:rsid w:val="000C2C75"/>
    <w:rsid w:val="000C3D20"/>
    <w:rsid w:val="000E43EC"/>
    <w:rsid w:val="001103AB"/>
    <w:rsid w:val="001275D4"/>
    <w:rsid w:val="00141DB9"/>
    <w:rsid w:val="00145038"/>
    <w:rsid w:val="00157EA1"/>
    <w:rsid w:val="00161E6F"/>
    <w:rsid w:val="0016244B"/>
    <w:rsid w:val="001C7C9E"/>
    <w:rsid w:val="00203A9D"/>
    <w:rsid w:val="00216E39"/>
    <w:rsid w:val="0023644B"/>
    <w:rsid w:val="00241E63"/>
    <w:rsid w:val="00273425"/>
    <w:rsid w:val="002809FD"/>
    <w:rsid w:val="0028667F"/>
    <w:rsid w:val="002A55CD"/>
    <w:rsid w:val="002A6EA8"/>
    <w:rsid w:val="002F2AD9"/>
    <w:rsid w:val="00325512"/>
    <w:rsid w:val="00341CB2"/>
    <w:rsid w:val="00350628"/>
    <w:rsid w:val="00350CE2"/>
    <w:rsid w:val="00375F0C"/>
    <w:rsid w:val="00383982"/>
    <w:rsid w:val="00384559"/>
    <w:rsid w:val="003C3EAB"/>
    <w:rsid w:val="003D5E58"/>
    <w:rsid w:val="003D6D04"/>
    <w:rsid w:val="003E1607"/>
    <w:rsid w:val="003E76C5"/>
    <w:rsid w:val="0040046E"/>
    <w:rsid w:val="00404898"/>
    <w:rsid w:val="00413EB5"/>
    <w:rsid w:val="0046516F"/>
    <w:rsid w:val="004713EE"/>
    <w:rsid w:val="00481C69"/>
    <w:rsid w:val="00487008"/>
    <w:rsid w:val="00492C1C"/>
    <w:rsid w:val="00501D1E"/>
    <w:rsid w:val="0052022A"/>
    <w:rsid w:val="0054318C"/>
    <w:rsid w:val="00583D2F"/>
    <w:rsid w:val="00585091"/>
    <w:rsid w:val="0058600F"/>
    <w:rsid w:val="005A0996"/>
    <w:rsid w:val="005C1521"/>
    <w:rsid w:val="005C411F"/>
    <w:rsid w:val="005F22A7"/>
    <w:rsid w:val="006050C4"/>
    <w:rsid w:val="00605F9B"/>
    <w:rsid w:val="0061263B"/>
    <w:rsid w:val="0061281A"/>
    <w:rsid w:val="00626B1A"/>
    <w:rsid w:val="006362EE"/>
    <w:rsid w:val="0065225F"/>
    <w:rsid w:val="00691B23"/>
    <w:rsid w:val="006A261A"/>
    <w:rsid w:val="006B117E"/>
    <w:rsid w:val="006E5B74"/>
    <w:rsid w:val="007336DD"/>
    <w:rsid w:val="00740ABE"/>
    <w:rsid w:val="00742D15"/>
    <w:rsid w:val="00746CC3"/>
    <w:rsid w:val="007761BF"/>
    <w:rsid w:val="00793B6A"/>
    <w:rsid w:val="007B30CF"/>
    <w:rsid w:val="007B5075"/>
    <w:rsid w:val="007C2299"/>
    <w:rsid w:val="007D0ED3"/>
    <w:rsid w:val="007E3BF2"/>
    <w:rsid w:val="007F1A4D"/>
    <w:rsid w:val="00801743"/>
    <w:rsid w:val="008045BA"/>
    <w:rsid w:val="0081402B"/>
    <w:rsid w:val="00842261"/>
    <w:rsid w:val="008434D1"/>
    <w:rsid w:val="00876ED9"/>
    <w:rsid w:val="008C1FC7"/>
    <w:rsid w:val="008D0A64"/>
    <w:rsid w:val="008E68DF"/>
    <w:rsid w:val="008F0961"/>
    <w:rsid w:val="008F7601"/>
    <w:rsid w:val="009072C4"/>
    <w:rsid w:val="009479DC"/>
    <w:rsid w:val="009523C8"/>
    <w:rsid w:val="00986796"/>
    <w:rsid w:val="00990E48"/>
    <w:rsid w:val="009D743B"/>
    <w:rsid w:val="00A02A2F"/>
    <w:rsid w:val="00A02AB6"/>
    <w:rsid w:val="00A04099"/>
    <w:rsid w:val="00A06BAA"/>
    <w:rsid w:val="00A2601A"/>
    <w:rsid w:val="00A46B70"/>
    <w:rsid w:val="00A5427E"/>
    <w:rsid w:val="00A71521"/>
    <w:rsid w:val="00A85F02"/>
    <w:rsid w:val="00A93778"/>
    <w:rsid w:val="00AA09DA"/>
    <w:rsid w:val="00B0268A"/>
    <w:rsid w:val="00B25460"/>
    <w:rsid w:val="00B324A6"/>
    <w:rsid w:val="00B455CF"/>
    <w:rsid w:val="00B523DB"/>
    <w:rsid w:val="00B57948"/>
    <w:rsid w:val="00B57DBA"/>
    <w:rsid w:val="00B87993"/>
    <w:rsid w:val="00BC64D4"/>
    <w:rsid w:val="00BD6034"/>
    <w:rsid w:val="00C43E54"/>
    <w:rsid w:val="00C441D2"/>
    <w:rsid w:val="00C547C3"/>
    <w:rsid w:val="00C62958"/>
    <w:rsid w:val="00C91CCC"/>
    <w:rsid w:val="00CE2634"/>
    <w:rsid w:val="00D12F74"/>
    <w:rsid w:val="00D2495C"/>
    <w:rsid w:val="00D33380"/>
    <w:rsid w:val="00D33514"/>
    <w:rsid w:val="00D36E4B"/>
    <w:rsid w:val="00D50A84"/>
    <w:rsid w:val="00D54868"/>
    <w:rsid w:val="00D821A4"/>
    <w:rsid w:val="00DA6C8E"/>
    <w:rsid w:val="00DB27DC"/>
    <w:rsid w:val="00DE5FEA"/>
    <w:rsid w:val="00E26142"/>
    <w:rsid w:val="00E264FA"/>
    <w:rsid w:val="00E57225"/>
    <w:rsid w:val="00E575FC"/>
    <w:rsid w:val="00E648A4"/>
    <w:rsid w:val="00E9368D"/>
    <w:rsid w:val="00EA7479"/>
    <w:rsid w:val="00EC178F"/>
    <w:rsid w:val="00EC672F"/>
    <w:rsid w:val="00ED6A67"/>
    <w:rsid w:val="00F3117D"/>
    <w:rsid w:val="00F357ED"/>
    <w:rsid w:val="00F44324"/>
    <w:rsid w:val="00F57C7C"/>
    <w:rsid w:val="00F6043D"/>
    <w:rsid w:val="00F73E18"/>
    <w:rsid w:val="00FB1472"/>
    <w:rsid w:val="00FC2A2C"/>
    <w:rsid w:val="00FC40F4"/>
    <w:rsid w:val="00FD4405"/>
    <w:rsid w:val="00FD4F9E"/>
    <w:rsid w:val="00FD7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7E"/>
    <w:pPr>
      <w:ind w:left="720"/>
    </w:pPr>
  </w:style>
  <w:style w:type="paragraph" w:styleId="BalloonText">
    <w:name w:val="Balloon Text"/>
    <w:basedOn w:val="Normal"/>
    <w:link w:val="BalloonTextChar"/>
    <w:rsid w:val="00161E6F"/>
    <w:rPr>
      <w:rFonts w:ascii="Tahoma" w:hAnsi="Tahoma"/>
      <w:sz w:val="16"/>
      <w:szCs w:val="16"/>
    </w:rPr>
  </w:style>
  <w:style w:type="character" w:customStyle="1" w:styleId="BalloonTextChar">
    <w:name w:val="Balloon Text Char"/>
    <w:link w:val="BalloonText"/>
    <w:rsid w:val="00161E6F"/>
    <w:rPr>
      <w:rFonts w:ascii="Tahoma" w:hAnsi="Tahoma" w:cs="Tahoma"/>
      <w:sz w:val="16"/>
      <w:szCs w:val="16"/>
    </w:rPr>
  </w:style>
  <w:style w:type="paragraph" w:styleId="Header">
    <w:name w:val="header"/>
    <w:basedOn w:val="Normal"/>
    <w:link w:val="HeaderChar"/>
    <w:rsid w:val="0040046E"/>
    <w:pPr>
      <w:tabs>
        <w:tab w:val="center" w:pos="4153"/>
        <w:tab w:val="right" w:pos="8306"/>
      </w:tabs>
    </w:pPr>
  </w:style>
  <w:style w:type="paragraph" w:styleId="Footer">
    <w:name w:val="footer"/>
    <w:basedOn w:val="Normal"/>
    <w:rsid w:val="0040046E"/>
    <w:pPr>
      <w:tabs>
        <w:tab w:val="center" w:pos="4153"/>
        <w:tab w:val="right" w:pos="8306"/>
      </w:tabs>
    </w:pPr>
  </w:style>
  <w:style w:type="character" w:customStyle="1" w:styleId="HeaderChar">
    <w:name w:val="Header Char"/>
    <w:link w:val="Header"/>
    <w:rsid w:val="0040046E"/>
    <w:rPr>
      <w:sz w:val="24"/>
      <w:szCs w:val="24"/>
      <w:lang w:val="el-GR" w:eastAsia="el-GR" w:bidi="ar-SA"/>
    </w:rPr>
  </w:style>
  <w:style w:type="paragraph" w:styleId="NormalWeb">
    <w:name w:val="Normal (Web)"/>
    <w:basedOn w:val="Normal"/>
    <w:uiPriority w:val="99"/>
    <w:unhideWhenUsed/>
    <w:rsid w:val="00D54868"/>
    <w:pPr>
      <w:spacing w:before="100" w:beforeAutospacing="1" w:after="100" w:afterAutospacing="1"/>
    </w:pPr>
    <w:rPr>
      <w:rFonts w:ascii="Verdana" w:hAnsi="Verdana"/>
      <w:color w:val="46464D"/>
      <w:sz w:val="17"/>
      <w:szCs w:val="17"/>
    </w:rPr>
  </w:style>
  <w:style w:type="character" w:styleId="Strong">
    <w:name w:val="Strong"/>
    <w:uiPriority w:val="22"/>
    <w:qFormat/>
    <w:rsid w:val="00D548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115">
      <w:bodyDiv w:val="1"/>
      <w:marLeft w:val="0"/>
      <w:marRight w:val="0"/>
      <w:marTop w:val="0"/>
      <w:marBottom w:val="0"/>
      <w:divBdr>
        <w:top w:val="none" w:sz="0" w:space="0" w:color="auto"/>
        <w:left w:val="none" w:sz="0" w:space="0" w:color="auto"/>
        <w:bottom w:val="none" w:sz="0" w:space="0" w:color="auto"/>
        <w:right w:val="none" w:sz="0" w:space="0" w:color="auto"/>
      </w:divBdr>
      <w:divsChild>
        <w:div w:id="1972128169">
          <w:marLeft w:val="0"/>
          <w:marRight w:val="300"/>
          <w:marTop w:val="0"/>
          <w:marBottom w:val="0"/>
          <w:divBdr>
            <w:top w:val="none" w:sz="0" w:space="0" w:color="auto"/>
            <w:left w:val="none" w:sz="0" w:space="0" w:color="auto"/>
            <w:bottom w:val="none" w:sz="0" w:space="0" w:color="auto"/>
            <w:right w:val="none" w:sz="0" w:space="0" w:color="auto"/>
          </w:divBdr>
        </w:div>
      </w:divsChild>
    </w:div>
    <w:div w:id="850752764">
      <w:bodyDiv w:val="1"/>
      <w:marLeft w:val="0"/>
      <w:marRight w:val="0"/>
      <w:marTop w:val="0"/>
      <w:marBottom w:val="0"/>
      <w:divBdr>
        <w:top w:val="none" w:sz="0" w:space="0" w:color="auto"/>
        <w:left w:val="none" w:sz="0" w:space="0" w:color="auto"/>
        <w:bottom w:val="none" w:sz="0" w:space="0" w:color="auto"/>
        <w:right w:val="none" w:sz="0" w:space="0" w:color="auto"/>
      </w:divBdr>
    </w:div>
    <w:div w:id="16945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1908</Characters>
  <Application>Microsoft Office Word</Application>
  <DocSecurity>4</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ΣΙΔΜΑ Α</vt:lpstr>
      <vt:lpstr>ΣΙΔΜΑ Α</vt:lpstr>
    </vt:vector>
  </TitlesOfParts>
  <Company>Hewlett-Packard Company</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ΣΙΔΜΑ Α</dc:title>
  <dc:creator>msamonas</dc:creator>
  <cp:lastModifiedBy>m.patrinou</cp:lastModifiedBy>
  <cp:revision>2</cp:revision>
  <cp:lastPrinted>2015-03-24T13:14:00Z</cp:lastPrinted>
  <dcterms:created xsi:type="dcterms:W3CDTF">2016-09-30T08:49:00Z</dcterms:created>
  <dcterms:modified xsi:type="dcterms:W3CDTF">2016-09-30T08:49:00Z</dcterms:modified>
</cp:coreProperties>
</file>