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8" w:rsidRPr="00CB6708" w:rsidRDefault="0072053C" w:rsidP="00820504">
      <w:pPr>
        <w:pStyle w:val="DateNew"/>
      </w:pPr>
      <w:r w:rsidRPr="0072053C">
        <w:t xml:space="preserve">9 Φεβρουαρίου </w:t>
      </w:r>
      <w:r w:rsidR="00CB670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BDCF8" wp14:editId="5988D063">
                <wp:simplePos x="0" y="0"/>
                <wp:positionH relativeFrom="column">
                  <wp:posOffset>3282646</wp:posOffset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08" w:rsidRPr="00CB6708" w:rsidRDefault="00CB6708" w:rsidP="00035040">
                            <w:pPr>
                              <w:pStyle w:val="Subtitle"/>
                            </w:pPr>
                            <w:r w:rsidRPr="00CB6708">
                              <w:t xml:space="preserve">Δελτίο </w:t>
                            </w:r>
                            <w:r>
                              <w:t>Τύπου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5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" filled="f" stroked="f" strokeweight=".5pt">
                <v:textbox>
                  <w:txbxContent>
                    <w:p w:rsidR="00CB6708" w:rsidRPr="00CB6708" w:rsidRDefault="00CB6708" w:rsidP="00035040">
                      <w:pPr>
                        <w:pStyle w:val="Subtitle"/>
                      </w:pPr>
                      <w:r w:rsidRPr="00CB6708">
                        <w:t xml:space="preserve">Δελτίο </w:t>
                      </w:r>
                      <w:r>
                        <w:t>Τύπου</w:t>
                      </w:r>
                    </w:p>
                  </w:txbxContent>
                </v:textbox>
              </v:shape>
            </w:pict>
          </mc:Fallback>
        </mc:AlternateContent>
      </w:r>
      <w:r w:rsidR="001A492B" w:rsidRPr="00D247A6">
        <w:t>2016</w:t>
      </w:r>
    </w:p>
    <w:p w:rsidR="00CB6708" w:rsidRPr="00CB6708" w:rsidRDefault="0072053C" w:rsidP="00BF074E">
      <w:pPr>
        <w:pStyle w:val="Title"/>
      </w:pPr>
      <w:r w:rsidRPr="0072053C">
        <w:t>Διοικούσα Επιτροπή Χρηματιστηριακών Αγορών</w:t>
      </w:r>
    </w:p>
    <w:p w:rsidR="00EB44D8" w:rsidRDefault="00EB44D8" w:rsidP="00EB44D8">
      <w:pPr>
        <w:rPr>
          <w:iCs/>
        </w:rPr>
      </w:pPr>
      <w:r>
        <w:rPr>
          <w:iCs/>
        </w:rPr>
        <w:t>Το Χρηματιστήριο Αθηνών, κατόπιν της σημερινής συνεδρίασης της Διοικούσας Επιτροπής του:</w:t>
      </w:r>
    </w:p>
    <w:p w:rsidR="0082298F" w:rsidRDefault="009F7A56" w:rsidP="0082298F">
      <w:r>
        <w:rPr>
          <w:iCs/>
        </w:rPr>
        <w:t>Ενέκρινε</w:t>
      </w:r>
      <w:r w:rsidR="0082298F">
        <w:t xml:space="preserve">: </w:t>
      </w:r>
    </w:p>
    <w:p w:rsidR="007E4474" w:rsidRPr="007E4474" w:rsidRDefault="0082298F" w:rsidP="0082298F">
      <w:pPr>
        <w:pStyle w:val="ListParagraph"/>
      </w:pPr>
      <w:r>
        <w:t xml:space="preserve">Την </w:t>
      </w:r>
      <w:r w:rsidRPr="00BF074E">
        <w:rPr>
          <w:b/>
        </w:rPr>
        <w:t>α</w:t>
      </w:r>
      <w:r w:rsidR="007E4474" w:rsidRPr="00BF074E">
        <w:rPr>
          <w:b/>
        </w:rPr>
        <w:t xml:space="preserve">ποκοπή του δικαιώματος συμμετοχής </w:t>
      </w:r>
      <w:r w:rsidR="007E4474" w:rsidRPr="00BF074E">
        <w:t>στην</w:t>
      </w:r>
      <w:r w:rsidR="007E4474" w:rsidRPr="007E4474">
        <w:t xml:space="preserve"> </w:t>
      </w:r>
      <w:r w:rsidR="007E4474" w:rsidRPr="0082298F">
        <w:rPr>
          <w:b/>
        </w:rPr>
        <w:t>αύξηση του μετοχικού κεφαλαίου</w:t>
      </w:r>
      <w:r w:rsidR="007E4474" w:rsidRPr="007E4474">
        <w:t xml:space="preserve"> </w:t>
      </w:r>
      <w:r w:rsidR="007E4474" w:rsidRPr="00BF074E">
        <w:rPr>
          <w:b/>
        </w:rPr>
        <w:t>με καταβολή μετρητών</w:t>
      </w:r>
      <w:r w:rsidR="007E4474" w:rsidRPr="007E4474">
        <w:t xml:space="preserve"> της εταιρ</w:t>
      </w:r>
      <w:r w:rsidR="009F7A56">
        <w:t>ε</w:t>
      </w:r>
      <w:r w:rsidR="007E4474" w:rsidRPr="007E4474">
        <w:t>ίας «</w:t>
      </w:r>
      <w:hyperlink r:id="rId8" w:history="1">
        <w:r w:rsidR="007E4474" w:rsidRPr="007E4474">
          <w:rPr>
            <w:rStyle w:val="Hyperlink"/>
            <w:b/>
          </w:rPr>
          <w:t>ΤΗΛΕΤΥ</w:t>
        </w:r>
        <w:r w:rsidR="007E4474" w:rsidRPr="007E4474">
          <w:rPr>
            <w:rStyle w:val="Hyperlink"/>
            <w:b/>
          </w:rPr>
          <w:t>Π</w:t>
        </w:r>
        <w:r w:rsidR="007E4474" w:rsidRPr="007E4474">
          <w:rPr>
            <w:rStyle w:val="Hyperlink"/>
            <w:b/>
          </w:rPr>
          <w:t>ΟΣ Α.Ε</w:t>
        </w:r>
        <w:r w:rsidR="007E4474" w:rsidRPr="007E4474">
          <w:rPr>
            <w:rStyle w:val="Hyperlink"/>
          </w:rPr>
          <w:t>.</w:t>
        </w:r>
      </w:hyperlink>
      <w:r w:rsidR="007E4474" w:rsidRPr="007E4474">
        <w:t>» (ISIN: GRS212293005)</w:t>
      </w:r>
      <w:r>
        <w:t xml:space="preserve"> την </w:t>
      </w:r>
      <w:r w:rsidRPr="0082298F">
        <w:rPr>
          <w:b/>
        </w:rPr>
        <w:t>Πέμπτη 11 Φεβρουαρίου 2016</w:t>
      </w:r>
      <w:r w:rsidR="007E4474" w:rsidRPr="007E4474">
        <w:t xml:space="preserve">, η οποία πραγματοποιείται υπέρ των παλαιών μετόχων, σε αναλογία 1 νέα κοινή ονομαστική μετοχή για κάθε 2 παλαιές κοινές ονομαστικές μετοχές, σε τιμή διάθεσης μετοχής € 0,30. Ημερομηνία καταγραφής των δικαιούχων (record date) για την εν λόγω εταιρική πράξη είναι η Παρασκευή 12 Φεβρουαρίου 2016. Η περίοδος άσκησης του δικαιώματος προτίμησης ορίζεται από την </w:t>
      </w:r>
      <w:r w:rsidR="007E4474" w:rsidRPr="00BF074E">
        <w:rPr>
          <w:b/>
        </w:rPr>
        <w:t>Τρίτη 16 Φεβρουαρίου 2016 έως και την Τρίτη 01 Μαρτίου 2016</w:t>
      </w:r>
      <w:r w:rsidR="007E4474" w:rsidRPr="007E4474">
        <w:t>, ενώ η περίοδος διαπραγμάτευσης των 100.793.000 δικαιωμάτων προτίμησης στο ηλεκτρονικό σύστημα συναλλαγών του Χρηματιστηρίου Αθηνών ορίζεται από την Τρίτη 16 Φεβρουαρίου 2016 έως και την Πέμπτη 25 Φεβρουαρίου 2016.</w:t>
      </w:r>
    </w:p>
    <w:p w:rsidR="007E4474" w:rsidRDefault="0082298F" w:rsidP="0082298F">
      <w:pPr>
        <w:pStyle w:val="ListParagraph"/>
      </w:pPr>
      <w:r>
        <w:t xml:space="preserve">Την </w:t>
      </w:r>
      <w:r w:rsidRPr="0082298F">
        <w:rPr>
          <w:b/>
        </w:rPr>
        <w:t>έ</w:t>
      </w:r>
      <w:r w:rsidR="007E4474" w:rsidRPr="0082298F">
        <w:rPr>
          <w:b/>
        </w:rPr>
        <w:t>ναρξη διαπραγμάτευσης</w:t>
      </w:r>
      <w:r w:rsidR="007E4474" w:rsidRPr="007E4474">
        <w:t xml:space="preserve"> 43.750.000 νέων κοινών ονομαστικών μετοχών της εταιρ</w:t>
      </w:r>
      <w:r w:rsidR="009F7A56">
        <w:t>ε</w:t>
      </w:r>
      <w:r w:rsidR="007E4474" w:rsidRPr="007E4474">
        <w:t>ίας «</w:t>
      </w:r>
      <w:hyperlink r:id="rId9" w:history="1">
        <w:r w:rsidR="007E4474" w:rsidRPr="007E4474">
          <w:rPr>
            <w:rStyle w:val="Hyperlink"/>
            <w:b/>
          </w:rPr>
          <w:t>ΑΘΗΝΑ Α.Τ.Ε.</w:t>
        </w:r>
      </w:hyperlink>
      <w:r w:rsidR="007E4474" w:rsidRPr="007E4474">
        <w:t>» (ISIN: GRS233213008)</w:t>
      </w:r>
      <w:r>
        <w:t xml:space="preserve"> την </w:t>
      </w:r>
      <w:r w:rsidRPr="0082298F">
        <w:rPr>
          <w:b/>
        </w:rPr>
        <w:t>Δευτέρα, 15 Φεβρουαρίου 2016</w:t>
      </w:r>
      <w:r w:rsidR="007E4474" w:rsidRPr="007E4474">
        <w:t xml:space="preserve">, κατόπιν </w:t>
      </w:r>
      <w:r w:rsidR="007E4474" w:rsidRPr="00BF074E">
        <w:rPr>
          <w:b/>
        </w:rPr>
        <w:t>αύξησης μετοχικού κεφαλαίου με κεφαλαιοποίηση υποχρεώσεων</w:t>
      </w:r>
      <w:r w:rsidR="007E4474" w:rsidRPr="007E4474">
        <w:t xml:space="preserve"> και κατάργηση του δικαιώματος προτίμησης των παλαιών μετόχων υπέρ της εταιρείας «</w:t>
      </w:r>
      <w:hyperlink r:id="rId10" w:history="1">
        <w:r w:rsidR="007E4474" w:rsidRPr="00BF074E">
          <w:rPr>
            <w:rStyle w:val="Hyperlink"/>
            <w:b/>
          </w:rPr>
          <w:t>J&amp;P ΑΒΑΞ Α.Ε.</w:t>
        </w:r>
      </w:hyperlink>
      <w:r w:rsidR="007E4474" w:rsidRPr="007E4474">
        <w:t>».</w:t>
      </w:r>
    </w:p>
    <w:p w:rsidR="005D56C9" w:rsidRPr="005D56C9" w:rsidRDefault="0082298F" w:rsidP="005D56C9">
      <w:pPr>
        <w:pStyle w:val="ListParagraph"/>
      </w:pPr>
      <w:r>
        <w:t>Τ</w:t>
      </w:r>
      <w:r w:rsidR="004676BC" w:rsidRPr="007E4474">
        <w:t xml:space="preserve">ην απόκτηση της ιδιότητας του </w:t>
      </w:r>
      <w:r w:rsidR="004676BC" w:rsidRPr="0082298F">
        <w:rPr>
          <w:b/>
        </w:rPr>
        <w:t>Ειδικού Διαπραγματευτή</w:t>
      </w:r>
      <w:r w:rsidR="004676BC" w:rsidRPr="007E4474">
        <w:t xml:space="preserve"> σε </w:t>
      </w:r>
      <w:r>
        <w:t xml:space="preserve">ΣΜΕ </w:t>
      </w:r>
      <w:r w:rsidR="004676BC" w:rsidRPr="007E4474">
        <w:t xml:space="preserve">επι δεικτών και μετοχών από την </w:t>
      </w:r>
      <w:r w:rsidR="005D56C9">
        <w:t>ετ</w:t>
      </w:r>
      <w:r w:rsidR="004676BC" w:rsidRPr="007E4474">
        <w:t>αιρ</w:t>
      </w:r>
      <w:r>
        <w:t>ε</w:t>
      </w:r>
      <w:r w:rsidR="004676BC" w:rsidRPr="007E4474">
        <w:t>ία Μέλος του ΧΑ «</w:t>
      </w:r>
      <w:hyperlink r:id="rId11" w:history="1">
        <w:r w:rsidR="004676BC" w:rsidRPr="007E4474">
          <w:rPr>
            <w:rStyle w:val="Hyperlink"/>
            <w:b/>
            <w:lang w:val="en-US"/>
          </w:rPr>
          <w:t>EUROXX</w:t>
        </w:r>
        <w:r w:rsidR="004676BC" w:rsidRPr="007E4474">
          <w:rPr>
            <w:rStyle w:val="Hyperlink"/>
            <w:b/>
          </w:rPr>
          <w:t xml:space="preserve"> ΧΑΕΠΕΥ</w:t>
        </w:r>
      </w:hyperlink>
      <w:r w:rsidR="004676BC" w:rsidRPr="007E4474">
        <w:t>».</w:t>
      </w:r>
      <w:r w:rsidR="005D56C9" w:rsidRPr="005D56C9">
        <w:rPr>
          <w:rFonts w:eastAsia="Times New Roman" w:cs="Arial"/>
          <w:snapToGrid w:val="0"/>
          <w:color w:val="000000"/>
        </w:rPr>
        <w:t xml:space="preserve"> </w:t>
      </w:r>
      <w:r w:rsidR="005D56C9" w:rsidRPr="005D56C9">
        <w:t>στα παράγωγα προϊόντα ΣΜΕ επί των μετοχών των Εταιριών «ALPHA BANK», «EUROBANK», «ΓΕΚ ΤΕΡΝΑ Α.Ε.», «ΔΕΗ», «ΕΘΝΙΚΗ ΤΡΑΠΕΖΑ», «ΕΛΛΗΝΙΚΑ ΠΕΤΡΕΛΑΙΑ», «ΕΛΛΗΝΙΚΑ ΧΡΗΜΑΤΙΣΤΗΡΙΑ – ΧΡΗΜΑΤΙΣΤΗΡΙΟ ΑΘΗΝΩΝ», «ΜΥΤΙΛΗΝΑΙΟΣ», «ΟΠΑΠ», «ΟΤΕ», «ΤΡΑΠΕΖΑ ΠΕΙΡΑΙΩΣ», «JUMBO ΑΝΩΝΥΜΗ ΕΜΠΟΡΙΚΗ ΕΤΑΙΡΙΑ» και στο παράγωγο προϊόν ΣΜΕ επί του Δείκτη «FTSE/</w:t>
      </w:r>
      <w:r w:rsidR="005D56C9" w:rsidRPr="005D56C9">
        <w:rPr>
          <w:lang w:val="en-US"/>
        </w:rPr>
        <w:t>XA</w:t>
      </w:r>
      <w:r w:rsidR="005D56C9" w:rsidRPr="005D56C9">
        <w:t xml:space="preserve"> </w:t>
      </w:r>
      <w:r w:rsidR="005D56C9" w:rsidRPr="005D56C9">
        <w:rPr>
          <w:lang w:val="en-US"/>
        </w:rPr>
        <w:t>Large</w:t>
      </w:r>
      <w:r w:rsidR="005D56C9" w:rsidRPr="005D56C9">
        <w:t xml:space="preserve"> </w:t>
      </w:r>
      <w:r w:rsidR="005D56C9" w:rsidRPr="005D56C9">
        <w:rPr>
          <w:lang w:val="en-US"/>
        </w:rPr>
        <w:t>Cap</w:t>
      </w:r>
      <w:r w:rsidR="005D56C9" w:rsidRPr="005D56C9">
        <w:t xml:space="preserve">» και καθόρισε ως ημερομηνία έναρξης της ειδικής διαπραγμάτευσης επί των εν λόγω παραγώγων προϊόντων την </w:t>
      </w:r>
      <w:r w:rsidR="005D56C9" w:rsidRPr="005D56C9">
        <w:rPr>
          <w:b/>
        </w:rPr>
        <w:t>Παρασκευή 12 Φεβρουαρίου 2016</w:t>
      </w:r>
      <w:r w:rsidR="005D56C9" w:rsidRPr="005D56C9">
        <w:t>.</w:t>
      </w:r>
    </w:p>
    <w:p w:rsidR="003C71E8" w:rsidRPr="007E4474" w:rsidRDefault="00F15970" w:rsidP="005D56C9">
      <w:pPr>
        <w:pStyle w:val="ListParagraph"/>
        <w:numPr>
          <w:ilvl w:val="0"/>
          <w:numId w:val="0"/>
        </w:numPr>
        <w:ind w:left="317"/>
      </w:pPr>
    </w:p>
    <w:p w:rsidR="0082298F" w:rsidRDefault="0082298F" w:rsidP="00035040"/>
    <w:p w:rsidR="00090D0B" w:rsidRDefault="00090D0B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72053C" w:rsidRDefault="0072053C" w:rsidP="00E050A6"/>
    <w:p w:rsidR="003C4403" w:rsidRDefault="003C4403" w:rsidP="00E050A6"/>
    <w:p w:rsidR="0082298F" w:rsidRDefault="0082298F" w:rsidP="00E050A6"/>
    <w:p w:rsidR="0082298F" w:rsidRDefault="0082298F" w:rsidP="00E050A6"/>
    <w:p w:rsidR="003C4403" w:rsidRDefault="003C4403" w:rsidP="00E050A6"/>
    <w:p w:rsidR="00E050A6" w:rsidRPr="00D6548A" w:rsidRDefault="00E050A6" w:rsidP="00E050A6">
      <w:pPr>
        <w:pStyle w:val="NormalStrong"/>
      </w:pPr>
      <w:bookmarkStart w:id="0" w:name="_GoBack"/>
      <w:bookmarkEnd w:id="0"/>
      <w:r w:rsidRPr="00D6548A">
        <w:t>Σχετικά με τον Όμιλο Χρηματιστηρίου Αθηνών</w:t>
      </w:r>
    </w:p>
    <w:p w:rsidR="00E050A6" w:rsidRPr="00D6548A" w:rsidRDefault="00E050A6" w:rsidP="00E050A6">
      <w:pPr>
        <w:pStyle w:val="NormalLight"/>
      </w:pPr>
      <w:r w:rsidRPr="00D6548A">
        <w:t xml:space="preserve">Το Χρηματιστήριο Αθηνών από την ίδρυσή του, το 1876, </w:t>
      </w:r>
      <w:r>
        <w:t>συμμετέχει σταθερά στις οικονομικές και επιχειρηματικές εξελίξεις της χώρας</w:t>
      </w:r>
      <w:r w:rsidRPr="00D6548A">
        <w:t xml:space="preserve">. </w:t>
      </w:r>
    </w:p>
    <w:p w:rsidR="00E050A6" w:rsidRPr="00F87464" w:rsidRDefault="00E050A6" w:rsidP="00E050A6">
      <w:pPr>
        <w:pStyle w:val="NormalLight"/>
      </w:pPr>
      <w:r>
        <w:t xml:space="preserve">Ο </w:t>
      </w:r>
      <w:r w:rsidRPr="00D6548A">
        <w:t xml:space="preserve">Όμιλος </w:t>
      </w:r>
      <w:r>
        <w:t xml:space="preserve">του </w:t>
      </w:r>
      <w:r w:rsidRPr="00D6548A">
        <w:t xml:space="preserve">Χρηματιστηρίου Αθηνών υποστηρίζει την </w:t>
      </w:r>
      <w:r w:rsidR="00B30BE7">
        <w:t xml:space="preserve">ανάπτυξη και </w:t>
      </w:r>
      <w:r w:rsidRPr="00D6548A">
        <w:t xml:space="preserve">οργάνωση της Ελληνικής Κεφαλαιαγοράς. </w:t>
      </w:r>
      <w:r>
        <w:t>Λ</w:t>
      </w:r>
      <w:r w:rsidRPr="00D6548A">
        <w:t>ειτουργ</w:t>
      </w:r>
      <w:r>
        <w:t xml:space="preserve">εί </w:t>
      </w:r>
      <w:r w:rsidRPr="00D6548A">
        <w:t>τις αγορές αξιών και παραγώγων, την εναλλακτική αγορά ενώ παράλληλα διενεργ</w:t>
      </w:r>
      <w:r>
        <w:t xml:space="preserve">εί </w:t>
      </w:r>
      <w:r w:rsidRPr="00D6548A">
        <w:t>την εκκαθάριση και το διακανονισμό των συναλλαγών.</w:t>
      </w:r>
      <w:r>
        <w:t xml:space="preserve"> </w:t>
      </w:r>
    </w:p>
    <w:p w:rsidR="00E050A6" w:rsidRDefault="00E050A6" w:rsidP="00E050A6">
      <w:pPr>
        <w:pStyle w:val="NormalLight"/>
      </w:pPr>
      <w:r>
        <w:t>Το Χρηματιστήριο, μ</w:t>
      </w:r>
      <w:r w:rsidRPr="00D6548A">
        <w:t xml:space="preserve">έσω των αγορών του, προσφέρει λύσεις και εργαλεία χρηματοδότησης </w:t>
      </w:r>
      <w:r>
        <w:t>σ</w:t>
      </w:r>
      <w:r w:rsidRPr="00D6548A">
        <w:t>τις επιχειρήσεις</w:t>
      </w:r>
      <w:r>
        <w:t xml:space="preserve">, διευρύνει τις επιλογές των επενδυτών παρέχοντας ένα ασφαλές, σταθερό και εύκολο περιβάλλον </w:t>
      </w:r>
      <w:r w:rsidRPr="00D6548A">
        <w:t>πλήρως εναρμονισμένο</w:t>
      </w:r>
      <w:r>
        <w:t xml:space="preserve"> </w:t>
      </w:r>
      <w:r w:rsidRPr="00D6548A">
        <w:t xml:space="preserve">με </w:t>
      </w:r>
      <w:r>
        <w:t>τις διεθνείς πρακτικές και το Ευρωπαϊκό κανονιστικό πλαίσιο</w:t>
      </w:r>
      <w:r w:rsidRPr="00D6548A">
        <w:t>.</w:t>
      </w:r>
    </w:p>
    <w:p w:rsidR="00E050A6" w:rsidRPr="001C27DD" w:rsidRDefault="00E050A6" w:rsidP="00E050A6">
      <w:pPr>
        <w:pStyle w:val="NormalLight"/>
      </w:pPr>
      <w:r>
        <w:t xml:space="preserve">Οι μετοχές του Ομίλου διαπραγματεύονται στην Κύρια Αγορά του Χρηματιστηρίου Αθηνών (Σύμβολο: </w:t>
      </w:r>
      <w:r>
        <w:rPr>
          <w:lang w:val="en-US"/>
        </w:rPr>
        <w:t>EXAE</w:t>
      </w:r>
      <w:r w:rsidRPr="001C27DD">
        <w:t xml:space="preserve">). </w:t>
      </w:r>
    </w:p>
    <w:p w:rsidR="00CE057F" w:rsidRPr="00090D0B" w:rsidRDefault="00E050A6" w:rsidP="00090D0B">
      <w:pPr>
        <w:pStyle w:val="NormalLight"/>
        <w:pBdr>
          <w:bottom w:val="single" w:sz="4" w:space="1" w:color="006EAB"/>
        </w:pBdr>
        <w:rPr>
          <w:rFonts w:cs="Calibri"/>
          <w:color w:val="404040" w:themeColor="text1" w:themeTint="BF"/>
          <w:szCs w:val="20"/>
        </w:rPr>
      </w:pPr>
      <w:r w:rsidRPr="00D6548A">
        <w:t xml:space="preserve">Περισσότερες πληροφορίες σχετικά με τον Όμιλο του Χρηματιστηρίου Αθηνών μπορείτε να βρείτε στους συνδέσμους της </w:t>
      </w:r>
      <w:hyperlink r:id="rId12" w:history="1">
        <w:r w:rsidRPr="00774E7D">
          <w:rPr>
            <w:rStyle w:val="Hyperlink"/>
            <w:rFonts w:cs="Calibri"/>
            <w:szCs w:val="20"/>
          </w:rPr>
          <w:t>ιστοσελίδας</w:t>
        </w:r>
      </w:hyperlink>
      <w:r>
        <w:rPr>
          <w:rFonts w:cs="Calibri"/>
          <w:color w:val="404040" w:themeColor="text1" w:themeTint="BF"/>
          <w:szCs w:val="20"/>
        </w:rPr>
        <w:t xml:space="preserve"> του, το </w:t>
      </w:r>
      <w:hyperlink r:id="rId13" w:history="1">
        <w:r w:rsidRPr="00774E7D">
          <w:rPr>
            <w:rStyle w:val="Hyperlink"/>
            <w:rFonts w:cs="Calibri"/>
            <w:szCs w:val="20"/>
          </w:rPr>
          <w:t>εταιρικό του προφίλ</w:t>
        </w:r>
      </w:hyperlink>
      <w:r>
        <w:rPr>
          <w:rFonts w:cs="Calibri"/>
          <w:color w:val="404040" w:themeColor="text1" w:themeTint="BF"/>
          <w:szCs w:val="20"/>
        </w:rPr>
        <w:t xml:space="preserve"> και τη </w:t>
      </w:r>
      <w:hyperlink r:id="rId14" w:history="1">
        <w:r w:rsidRPr="00774E7D">
          <w:rPr>
            <w:rStyle w:val="Hyperlink"/>
            <w:rFonts w:cs="Calibri"/>
            <w:szCs w:val="20"/>
          </w:rPr>
          <w:t>σύνοψη της αγοράς του</w:t>
        </w:r>
      </w:hyperlink>
      <w:r>
        <w:rPr>
          <w:rFonts w:cs="Calibri"/>
          <w:color w:val="404040" w:themeColor="text1" w:themeTint="BF"/>
          <w:szCs w:val="20"/>
        </w:rPr>
        <w:t>.</w:t>
      </w:r>
    </w:p>
    <w:sectPr w:rsidR="00CE057F" w:rsidRPr="00090D0B" w:rsidSect="00A7436B">
      <w:headerReference w:type="default" r:id="rId15"/>
      <w:footerReference w:type="default" r:id="rId16"/>
      <w:pgSz w:w="11906" w:h="16838"/>
      <w:pgMar w:top="3240" w:right="1736" w:bottom="1530" w:left="1800" w:header="993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70" w:rsidRDefault="00F15970" w:rsidP="00035040">
      <w:r>
        <w:separator/>
      </w:r>
    </w:p>
  </w:endnote>
  <w:endnote w:type="continuationSeparator" w:id="0">
    <w:p w:rsidR="00F15970" w:rsidRDefault="00F15970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Pr="001757B3" w:rsidRDefault="005902FD" w:rsidP="00787BB3">
    <w:pPr>
      <w:pStyle w:val="PageNumberNew"/>
      <w:tabs>
        <w:tab w:val="clear" w:pos="8280"/>
        <w:tab w:val="right" w:pos="8370"/>
      </w:tabs>
      <w:rPr>
        <w:rFonts w:asciiTheme="majorHAnsi" w:hAnsiTheme="majorHAnsi"/>
        <w:sz w:val="48"/>
        <w:szCs w:val="44"/>
      </w:rPr>
    </w:pPr>
    <w:r>
      <w:rPr>
        <w:noProof/>
        <w:lang w:eastAsia="el-GR"/>
      </w:rPr>
      <w:drawing>
        <wp:inline distT="0" distB="0" distL="0" distR="0" wp14:anchorId="12C75C86" wp14:editId="053533A3">
          <wp:extent cx="3801161" cy="90526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Footer-GR - ATHEXGROU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161" cy="9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5040">
      <w:tab/>
    </w:r>
    <w:sdt>
      <w:sdtPr>
        <w:id w:val="-1584517604"/>
        <w:docPartObj>
          <w:docPartGallery w:val="Page Numbers (Margins)"/>
          <w:docPartUnique/>
        </w:docPartObj>
      </w:sdtPr>
      <w:sdtEndPr/>
      <w:sdtContent>
        <w:sdt>
          <w:sdtPr>
            <w:id w:val="933708925"/>
            <w:docPartObj>
              <w:docPartGallery w:val="Page Numbers (Margins)"/>
              <w:docPartUnique/>
            </w:docPartObj>
          </w:sdtPr>
          <w:sdtEndPr/>
          <w:sdtContent>
            <w:r w:rsidR="001757B3" w:rsidRPr="00ED2B58">
              <w:rPr>
                <w:rFonts w:eastAsiaTheme="minorEastAsia" w:cs="Times New Roman"/>
              </w:rPr>
              <w:fldChar w:fldCharType="begin"/>
            </w:r>
            <w:r w:rsidR="001757B3" w:rsidRPr="00ED2B58">
              <w:instrText xml:space="preserve"> PAGE   \* MERGEFORMAT </w:instrText>
            </w:r>
            <w:r w:rsidR="001757B3" w:rsidRPr="00ED2B58">
              <w:rPr>
                <w:rFonts w:eastAsiaTheme="minorEastAsia" w:cs="Times New Roman"/>
              </w:rPr>
              <w:fldChar w:fldCharType="separate"/>
            </w:r>
            <w:r w:rsidR="005D56C9">
              <w:rPr>
                <w:noProof/>
              </w:rPr>
              <w:t>2</w:t>
            </w:r>
            <w:r w:rsidR="001757B3" w:rsidRPr="00ED2B5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70" w:rsidRDefault="00F15970" w:rsidP="00035040">
      <w:r>
        <w:separator/>
      </w:r>
    </w:p>
  </w:footnote>
  <w:footnote w:type="continuationSeparator" w:id="0">
    <w:p w:rsidR="00F15970" w:rsidRDefault="00F15970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BE" w:rsidRDefault="00B534BE" w:rsidP="00A7436B">
    <w:pPr>
      <w:pStyle w:val="Header"/>
      <w:tabs>
        <w:tab w:val="clear" w:pos="8306"/>
        <w:tab w:val="right" w:pos="8370"/>
      </w:tabs>
    </w:pPr>
    <w:r>
      <w:rPr>
        <w:noProof/>
        <w:lang w:eastAsia="el-GR"/>
      </w:rPr>
      <w:drawing>
        <wp:inline distT="0" distB="0" distL="0" distR="0" wp14:anchorId="125F9E12" wp14:editId="793FD0E2">
          <wp:extent cx="1493520" cy="1060704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GROUP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23F"/>
    <w:multiLevelType w:val="hybridMultilevel"/>
    <w:tmpl w:val="5A62B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3EC9"/>
    <w:multiLevelType w:val="hybridMultilevel"/>
    <w:tmpl w:val="5D12E0DA"/>
    <w:lvl w:ilvl="0" w:tplc="9676ADA0">
      <w:start w:val="1"/>
      <w:numFmt w:val="bullet"/>
      <w:pStyle w:val="BriefBullet"/>
      <w:lvlText w:val=""/>
      <w:lvlJc w:val="left"/>
      <w:pPr>
        <w:ind w:left="360" w:hanging="360"/>
      </w:pPr>
      <w:rPr>
        <w:rFonts w:ascii="Symbol" w:hAnsi="Symbol" w:hint="default"/>
        <w:color w:val="006EAB"/>
        <w:u w:color="FF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71D"/>
    <w:multiLevelType w:val="hybridMultilevel"/>
    <w:tmpl w:val="80C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83CF6"/>
    <w:multiLevelType w:val="hybridMultilevel"/>
    <w:tmpl w:val="658AD91C"/>
    <w:lvl w:ilvl="0" w:tplc="B0A63B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B36D4"/>
    <w:multiLevelType w:val="hybridMultilevel"/>
    <w:tmpl w:val="29E8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029FD"/>
    <w:multiLevelType w:val="hybridMultilevel"/>
    <w:tmpl w:val="A9CA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26840"/>
    <w:multiLevelType w:val="hybridMultilevel"/>
    <w:tmpl w:val="4A66BB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BE"/>
    <w:rsid w:val="0001799B"/>
    <w:rsid w:val="00027C6D"/>
    <w:rsid w:val="00035040"/>
    <w:rsid w:val="00046892"/>
    <w:rsid w:val="00051501"/>
    <w:rsid w:val="00090D0B"/>
    <w:rsid w:val="000B079C"/>
    <w:rsid w:val="000C5940"/>
    <w:rsid w:val="000D52EF"/>
    <w:rsid w:val="00111569"/>
    <w:rsid w:val="00127070"/>
    <w:rsid w:val="001757B3"/>
    <w:rsid w:val="00176CB9"/>
    <w:rsid w:val="00176FC1"/>
    <w:rsid w:val="001803C7"/>
    <w:rsid w:val="001922E5"/>
    <w:rsid w:val="001A492B"/>
    <w:rsid w:val="001C27DD"/>
    <w:rsid w:val="001F48E9"/>
    <w:rsid w:val="00213D9F"/>
    <w:rsid w:val="00244E4F"/>
    <w:rsid w:val="002741D2"/>
    <w:rsid w:val="002761DE"/>
    <w:rsid w:val="002C6E3F"/>
    <w:rsid w:val="002E020F"/>
    <w:rsid w:val="003026A1"/>
    <w:rsid w:val="00336963"/>
    <w:rsid w:val="00354513"/>
    <w:rsid w:val="00371ADF"/>
    <w:rsid w:val="003C4403"/>
    <w:rsid w:val="003D3A7C"/>
    <w:rsid w:val="003D523D"/>
    <w:rsid w:val="003F4E95"/>
    <w:rsid w:val="00405690"/>
    <w:rsid w:val="004676BC"/>
    <w:rsid w:val="00471EEA"/>
    <w:rsid w:val="004A6465"/>
    <w:rsid w:val="004C651F"/>
    <w:rsid w:val="004D71F4"/>
    <w:rsid w:val="004E5CC4"/>
    <w:rsid w:val="00501724"/>
    <w:rsid w:val="005421C4"/>
    <w:rsid w:val="0055693A"/>
    <w:rsid w:val="00585102"/>
    <w:rsid w:val="005902FD"/>
    <w:rsid w:val="005A6FCE"/>
    <w:rsid w:val="005D56C9"/>
    <w:rsid w:val="005F03FA"/>
    <w:rsid w:val="00625430"/>
    <w:rsid w:val="00642787"/>
    <w:rsid w:val="0072053C"/>
    <w:rsid w:val="00761C11"/>
    <w:rsid w:val="00774E7D"/>
    <w:rsid w:val="007804B0"/>
    <w:rsid w:val="00787BB3"/>
    <w:rsid w:val="007A43DA"/>
    <w:rsid w:val="007E4474"/>
    <w:rsid w:val="008128D2"/>
    <w:rsid w:val="00816FD9"/>
    <w:rsid w:val="00820504"/>
    <w:rsid w:val="0082298F"/>
    <w:rsid w:val="00870B13"/>
    <w:rsid w:val="00877096"/>
    <w:rsid w:val="00887493"/>
    <w:rsid w:val="00892D52"/>
    <w:rsid w:val="008F1847"/>
    <w:rsid w:val="0090156C"/>
    <w:rsid w:val="00943160"/>
    <w:rsid w:val="00954780"/>
    <w:rsid w:val="00972192"/>
    <w:rsid w:val="009C01A1"/>
    <w:rsid w:val="009F7A56"/>
    <w:rsid w:val="00A212BA"/>
    <w:rsid w:val="00A24B53"/>
    <w:rsid w:val="00A3056F"/>
    <w:rsid w:val="00A70329"/>
    <w:rsid w:val="00A7436B"/>
    <w:rsid w:val="00AE4818"/>
    <w:rsid w:val="00AE5169"/>
    <w:rsid w:val="00AF6F21"/>
    <w:rsid w:val="00B03981"/>
    <w:rsid w:val="00B30BE7"/>
    <w:rsid w:val="00B40A17"/>
    <w:rsid w:val="00B534BE"/>
    <w:rsid w:val="00BD55CD"/>
    <w:rsid w:val="00BF074E"/>
    <w:rsid w:val="00C17D66"/>
    <w:rsid w:val="00C50D2F"/>
    <w:rsid w:val="00CB6708"/>
    <w:rsid w:val="00CD7501"/>
    <w:rsid w:val="00CE057F"/>
    <w:rsid w:val="00CE163A"/>
    <w:rsid w:val="00CE2721"/>
    <w:rsid w:val="00D247A6"/>
    <w:rsid w:val="00D37FEC"/>
    <w:rsid w:val="00D467C8"/>
    <w:rsid w:val="00D6548A"/>
    <w:rsid w:val="00D8379C"/>
    <w:rsid w:val="00E050A6"/>
    <w:rsid w:val="00E23D98"/>
    <w:rsid w:val="00E54DF1"/>
    <w:rsid w:val="00E93C97"/>
    <w:rsid w:val="00EB44D8"/>
    <w:rsid w:val="00ED2B58"/>
    <w:rsid w:val="00ED5076"/>
    <w:rsid w:val="00F15970"/>
    <w:rsid w:val="00F174ED"/>
    <w:rsid w:val="00F236A0"/>
    <w:rsid w:val="00F63B21"/>
    <w:rsid w:val="00F87464"/>
    <w:rsid w:val="00FB252D"/>
    <w:rsid w:val="00FB2652"/>
    <w:rsid w:val="00F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40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40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ind w:left="317" w:hanging="317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el/company-profile/-/select-company/242" TargetMode="External"/><Relationship Id="rId13" Type="http://schemas.openxmlformats.org/officeDocument/2006/relationships/hyperlink" Target="http://www.helex.gr/documents/10180/4295312/2016_02_01_Company_Profile_GR.pdf/9bdce111-feae-401d-bb5f-422468df176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hexgroup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lex.gr/documents/10180/1814939/EUROXX+&#935;.&#913;.&#917;.&#928;.&#917;.&#933;./d7673414-3654-4e23-9a69-787e5e263830?version=1.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elex.gr/el/company-profile/-/select-company/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lex.gr/el/web/guest/company-profile" TargetMode="External"/><Relationship Id="rId14" Type="http://schemas.openxmlformats.org/officeDocument/2006/relationships/hyperlink" Target="http://www.helex.gr/documents/10180/2333122/2015_12_31_Market_Profile_GR.pdf/25f8af93-c2ee-4678-9c06-dc51c60cc17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Xenos, Aggelos</dc:creator>
  <cp:lastModifiedBy>Domalis, Dimitrios</cp:lastModifiedBy>
  <cp:revision>2</cp:revision>
  <cp:lastPrinted>2016-02-09T12:57:00Z</cp:lastPrinted>
  <dcterms:created xsi:type="dcterms:W3CDTF">2016-02-09T14:50:00Z</dcterms:created>
  <dcterms:modified xsi:type="dcterms:W3CDTF">2016-02-09T14:50:00Z</dcterms:modified>
</cp:coreProperties>
</file>