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333D" w:rsidRPr="00B96E62" w:rsidRDefault="002D333D" w:rsidP="002D333D">
      <w:pPr>
        <w:autoSpaceDE w:val="0"/>
        <w:autoSpaceDN w:val="0"/>
        <w:adjustRightInd w:val="0"/>
        <w:spacing w:before="20" w:after="20"/>
        <w:rPr>
          <w:rFonts w:cs="Segoe UI"/>
          <w:b/>
          <w:bCs/>
          <w:color w:val="000000"/>
          <w:sz w:val="24"/>
        </w:rPr>
      </w:pPr>
      <w:r w:rsidRPr="002D333D">
        <w:rPr>
          <w:rFonts w:cs="Segoe UI"/>
          <w:b/>
          <w:bCs/>
          <w:color w:val="000000"/>
          <w:sz w:val="24"/>
        </w:rPr>
        <w:t>Έκθεση του Διοικητικού Συμβουλίου της ΕΡΙΟΥΡΓΙΑ ΤΡΙΑ ΑΛΦΑ Α.Ε., σύμφωνα με τις παραγράφους 4.1.4.1.1 &amp; 4.1.4.1.2 του Κανονισμού του Χρηματιστηρίου Αθηνών για Αύξηση Μετοχικού Κεφαλαίου</w:t>
      </w:r>
      <w:r w:rsidR="00B96E62" w:rsidRPr="00B96E62">
        <w:rPr>
          <w:rFonts w:cs="Segoe UI"/>
          <w:b/>
          <w:bCs/>
          <w:color w:val="000000"/>
          <w:sz w:val="24"/>
        </w:rPr>
        <w:t>.</w:t>
      </w:r>
    </w:p>
    <w:p w:rsidR="002D333D" w:rsidRPr="002D333D" w:rsidRDefault="002D333D" w:rsidP="002D333D">
      <w:pPr>
        <w:autoSpaceDE w:val="0"/>
        <w:autoSpaceDN w:val="0"/>
        <w:adjustRightInd w:val="0"/>
        <w:spacing w:before="20" w:after="20"/>
        <w:rPr>
          <w:rFonts w:cs="Segoe UI"/>
          <w:color w:val="000000"/>
          <w:sz w:val="24"/>
        </w:rPr>
      </w:pPr>
    </w:p>
    <w:p w:rsidR="00926297" w:rsidRPr="00165640" w:rsidRDefault="002D333D" w:rsidP="00926297">
      <w:pPr>
        <w:spacing w:after="0"/>
        <w:rPr>
          <w:rFonts w:cs="Segoe UI"/>
          <w:color w:val="000000"/>
          <w:sz w:val="24"/>
        </w:rPr>
      </w:pPr>
      <w:r w:rsidRPr="002D333D">
        <w:rPr>
          <w:rFonts w:cs="Segoe UI"/>
          <w:color w:val="000000"/>
          <w:sz w:val="24"/>
        </w:rPr>
        <w:t>Το Διοικητικό Συμβούλιο της ΕΡΙΟΥΡΓΙΑ ΤΡΙΑ ΑΛΦΑ Α.Ε. (εφεξής «η Ετα</w:t>
      </w:r>
      <w:r w:rsidR="00B65A9A">
        <w:rPr>
          <w:rFonts w:cs="Segoe UI"/>
          <w:color w:val="000000"/>
          <w:sz w:val="24"/>
        </w:rPr>
        <w:t>ιρία») κατά τη συνεδρίαση της 15η</w:t>
      </w:r>
      <w:r w:rsidRPr="00165640">
        <w:rPr>
          <w:rFonts w:cs="Segoe UI"/>
          <w:color w:val="000000"/>
          <w:sz w:val="24"/>
        </w:rPr>
        <w:t xml:space="preserve">ς </w:t>
      </w:r>
      <w:r w:rsidR="00B65A9A">
        <w:rPr>
          <w:rFonts w:cs="Segoe UI"/>
          <w:color w:val="000000"/>
          <w:sz w:val="24"/>
        </w:rPr>
        <w:t>Δεκεμβρίου 2015</w:t>
      </w:r>
      <w:r w:rsidRPr="002D333D">
        <w:rPr>
          <w:rFonts w:cs="Segoe UI"/>
          <w:color w:val="000000"/>
          <w:sz w:val="24"/>
        </w:rPr>
        <w:t xml:space="preserve">, αποφάσισε να προτείνει στις </w:t>
      </w:r>
      <w:r w:rsidR="00B65A9A">
        <w:rPr>
          <w:rFonts w:cs="Segoe UI"/>
          <w:color w:val="000000"/>
          <w:sz w:val="24"/>
        </w:rPr>
        <w:t>Έκτακτες</w:t>
      </w:r>
      <w:r w:rsidRPr="002D333D">
        <w:rPr>
          <w:rFonts w:cs="Segoe UI"/>
          <w:color w:val="000000"/>
          <w:sz w:val="24"/>
        </w:rPr>
        <w:t xml:space="preserve"> Γενικές Συνελεύ</w:t>
      </w:r>
      <w:r w:rsidR="00FF6CAA">
        <w:rPr>
          <w:rFonts w:cs="Segoe UI"/>
          <w:color w:val="000000"/>
          <w:sz w:val="24"/>
        </w:rPr>
        <w:t xml:space="preserve">σεις, των μετόχων της Εταιρίας, </w:t>
      </w:r>
      <w:r w:rsidRPr="002D333D">
        <w:rPr>
          <w:rFonts w:cs="Segoe UI"/>
          <w:color w:val="000000"/>
          <w:sz w:val="24"/>
        </w:rPr>
        <w:t>κατόχων κ</w:t>
      </w:r>
      <w:r w:rsidR="00FF6CAA">
        <w:rPr>
          <w:rFonts w:cs="Segoe UI"/>
          <w:color w:val="000000"/>
          <w:sz w:val="24"/>
        </w:rPr>
        <w:t xml:space="preserve">οινών και προνομιούχων μετοχών </w:t>
      </w:r>
      <w:r w:rsidRPr="002D333D">
        <w:rPr>
          <w:rFonts w:cs="Segoe UI"/>
          <w:color w:val="000000"/>
          <w:sz w:val="24"/>
        </w:rPr>
        <w:t xml:space="preserve">της </w:t>
      </w:r>
      <w:r w:rsidR="00B65A9A">
        <w:rPr>
          <w:rFonts w:cs="Segoe UI"/>
          <w:color w:val="000000"/>
          <w:sz w:val="24"/>
        </w:rPr>
        <w:t>11</w:t>
      </w:r>
      <w:r w:rsidRPr="002D333D">
        <w:rPr>
          <w:rFonts w:cs="Segoe UI"/>
          <w:color w:val="000000"/>
          <w:position w:val="8"/>
          <w:sz w:val="24"/>
          <w:vertAlign w:val="superscript"/>
        </w:rPr>
        <w:t xml:space="preserve">ης </w:t>
      </w:r>
      <w:r w:rsidRPr="00165640">
        <w:rPr>
          <w:rFonts w:cs="Segoe UI"/>
          <w:color w:val="000000"/>
          <w:sz w:val="24"/>
        </w:rPr>
        <w:t>Ι</w:t>
      </w:r>
      <w:r w:rsidR="00B65A9A">
        <w:rPr>
          <w:rFonts w:cs="Segoe UI"/>
          <w:color w:val="000000"/>
          <w:sz w:val="24"/>
        </w:rPr>
        <w:t>ανουαρίου 2016</w:t>
      </w:r>
      <w:r w:rsidR="00CE46CE" w:rsidRPr="00165640">
        <w:rPr>
          <w:rFonts w:cs="Segoe UI"/>
          <w:color w:val="000000"/>
          <w:sz w:val="24"/>
        </w:rPr>
        <w:t xml:space="preserve"> </w:t>
      </w:r>
      <w:r w:rsidR="00B65A9A">
        <w:rPr>
          <w:rFonts w:cs="Segoe UI"/>
          <w:color w:val="000000"/>
          <w:sz w:val="24"/>
        </w:rPr>
        <w:t>:</w:t>
      </w:r>
    </w:p>
    <w:p w:rsidR="00926297" w:rsidRPr="00165640" w:rsidRDefault="00CE46CE" w:rsidP="00B65A9A">
      <w:pPr>
        <w:spacing w:after="0"/>
        <w:ind w:firstLine="720"/>
        <w:rPr>
          <w:rFonts w:cs="Segoe UI"/>
          <w:b/>
          <w:bCs/>
          <w:color w:val="000000"/>
          <w:sz w:val="24"/>
        </w:rPr>
      </w:pPr>
      <w:r w:rsidRPr="00165640">
        <w:rPr>
          <w:rFonts w:cs="Segoe UI"/>
          <w:b/>
          <w:color w:val="000000"/>
          <w:sz w:val="24"/>
        </w:rPr>
        <w:t>α)</w:t>
      </w:r>
      <w:r w:rsidRPr="00165640">
        <w:rPr>
          <w:rFonts w:cs="Segoe UI"/>
          <w:color w:val="000000"/>
          <w:sz w:val="24"/>
        </w:rPr>
        <w:t xml:space="preserve"> </w:t>
      </w:r>
      <w:r w:rsidR="002D333D" w:rsidRPr="002D333D">
        <w:rPr>
          <w:rFonts w:cs="Segoe UI"/>
          <w:color w:val="000000"/>
          <w:sz w:val="24"/>
        </w:rPr>
        <w:t xml:space="preserve">την έγκριση αύξησης </w:t>
      </w:r>
      <w:r w:rsidR="00926297" w:rsidRPr="00165640">
        <w:rPr>
          <w:rFonts w:cs="Segoe UI"/>
          <w:color w:val="000000"/>
          <w:sz w:val="24"/>
        </w:rPr>
        <w:t xml:space="preserve">του </w:t>
      </w:r>
      <w:r w:rsidR="002D333D" w:rsidRPr="002D333D">
        <w:rPr>
          <w:rFonts w:cs="Segoe UI"/>
          <w:color w:val="000000"/>
          <w:sz w:val="24"/>
        </w:rPr>
        <w:t>μετοχικού κεφαλαίου</w:t>
      </w:r>
      <w:r w:rsidR="00926297" w:rsidRPr="00165640">
        <w:rPr>
          <w:sz w:val="24"/>
        </w:rPr>
        <w:t xml:space="preserve"> της </w:t>
      </w:r>
      <w:r w:rsidR="00926297" w:rsidRPr="00165640">
        <w:rPr>
          <w:rFonts w:cs="Segoe UI"/>
          <w:color w:val="000000"/>
          <w:sz w:val="24"/>
        </w:rPr>
        <w:t>εταιρίας</w:t>
      </w:r>
      <w:r w:rsidR="00B65A9A">
        <w:rPr>
          <w:rFonts w:cs="Segoe UI"/>
          <w:color w:val="000000"/>
          <w:sz w:val="24"/>
        </w:rPr>
        <w:t xml:space="preserve"> </w:t>
      </w:r>
      <w:r w:rsidR="002D333D" w:rsidRPr="002D333D">
        <w:rPr>
          <w:rFonts w:cs="Segoe UI"/>
          <w:color w:val="000000"/>
          <w:sz w:val="24"/>
        </w:rPr>
        <w:t>με καταβολή μετρητών μέσω της έκδοσης νέων κοινών, άυλων, ονομαστικών μετά ψήφου μετοχών</w:t>
      </w:r>
      <w:r w:rsidR="00B65A9A">
        <w:rPr>
          <w:rFonts w:cs="Segoe UI"/>
          <w:color w:val="000000"/>
          <w:sz w:val="24"/>
        </w:rPr>
        <w:t xml:space="preserve">, </w:t>
      </w:r>
      <w:r w:rsidR="002D333D" w:rsidRPr="002D333D">
        <w:rPr>
          <w:rFonts w:cs="Segoe UI"/>
          <w:color w:val="000000"/>
          <w:sz w:val="24"/>
        </w:rPr>
        <w:t>με δικαίωμα προτίμησης υπέρ των παλαιών μ</w:t>
      </w:r>
      <w:r w:rsidR="00926297" w:rsidRPr="00165640">
        <w:rPr>
          <w:rFonts w:cs="Segoe UI"/>
          <w:color w:val="000000"/>
          <w:sz w:val="24"/>
        </w:rPr>
        <w:t>ετόχων</w:t>
      </w:r>
      <w:r w:rsidR="00FF6CAA">
        <w:rPr>
          <w:rFonts w:cs="Segoe UI"/>
          <w:color w:val="000000"/>
          <w:sz w:val="24"/>
        </w:rPr>
        <w:t xml:space="preserve">, </w:t>
      </w:r>
      <w:r w:rsidR="00FF6CAA" w:rsidRPr="002D333D">
        <w:rPr>
          <w:rFonts w:cs="Segoe UI"/>
          <w:color w:val="000000"/>
          <w:sz w:val="24"/>
        </w:rPr>
        <w:t>κατόχων κοινών και προνομιούχων μετοχών</w:t>
      </w:r>
    </w:p>
    <w:p w:rsidR="002D333D" w:rsidRPr="002D333D" w:rsidRDefault="00B65A9A" w:rsidP="00926297">
      <w:pPr>
        <w:autoSpaceDE w:val="0"/>
        <w:autoSpaceDN w:val="0"/>
        <w:adjustRightInd w:val="0"/>
        <w:spacing w:before="20" w:after="20"/>
        <w:ind w:firstLine="720"/>
        <w:rPr>
          <w:rFonts w:cs="Segoe UI"/>
          <w:color w:val="000000"/>
          <w:sz w:val="24"/>
        </w:rPr>
      </w:pPr>
      <w:r>
        <w:rPr>
          <w:rFonts w:cs="Segoe UI"/>
          <w:b/>
          <w:bCs/>
          <w:color w:val="000000"/>
          <w:sz w:val="24"/>
        </w:rPr>
        <w:t>β</w:t>
      </w:r>
      <w:r w:rsidR="00926297" w:rsidRPr="002D333D">
        <w:rPr>
          <w:rFonts w:cs="Segoe UI"/>
          <w:b/>
          <w:bCs/>
          <w:color w:val="000000"/>
          <w:sz w:val="24"/>
        </w:rPr>
        <w:t xml:space="preserve">) </w:t>
      </w:r>
      <w:r w:rsidR="002D333D" w:rsidRPr="002D333D">
        <w:rPr>
          <w:rFonts w:cs="Segoe UI"/>
          <w:color w:val="000000"/>
          <w:sz w:val="24"/>
        </w:rPr>
        <w:t xml:space="preserve">την τροποποίηση του άρθρου 5 του Καταστατικού της Εταιρίας. </w:t>
      </w:r>
    </w:p>
    <w:p w:rsidR="002D333D" w:rsidRPr="002D333D" w:rsidRDefault="002D333D" w:rsidP="002D333D">
      <w:pPr>
        <w:autoSpaceDE w:val="0"/>
        <w:autoSpaceDN w:val="0"/>
        <w:adjustRightInd w:val="0"/>
        <w:spacing w:before="20" w:after="20"/>
        <w:rPr>
          <w:rFonts w:cs="Segoe UI"/>
          <w:color w:val="000000"/>
          <w:sz w:val="24"/>
        </w:rPr>
      </w:pPr>
      <w:r w:rsidRPr="002D333D">
        <w:rPr>
          <w:rFonts w:cs="Segoe UI"/>
          <w:color w:val="000000"/>
          <w:sz w:val="24"/>
        </w:rPr>
        <w:t xml:space="preserve">Η παρούσα έκθεση συντάσσεται για τους σκοπούς της ως άνω αύξησης, εντός των πλαισίων του Κανονισμού του Χ.Α. και θα υποβληθεί στις </w:t>
      </w:r>
      <w:r w:rsidR="00B65A9A">
        <w:rPr>
          <w:rFonts w:cs="Segoe UI"/>
          <w:color w:val="000000"/>
          <w:sz w:val="24"/>
        </w:rPr>
        <w:t>Έκτακτες</w:t>
      </w:r>
      <w:r w:rsidRPr="002D333D">
        <w:rPr>
          <w:rFonts w:cs="Segoe UI"/>
          <w:color w:val="000000"/>
          <w:sz w:val="24"/>
        </w:rPr>
        <w:t xml:space="preserve"> Γενικές Συνελε</w:t>
      </w:r>
      <w:r w:rsidR="00FF6CAA">
        <w:rPr>
          <w:rFonts w:cs="Segoe UI"/>
          <w:color w:val="000000"/>
          <w:sz w:val="24"/>
        </w:rPr>
        <w:t xml:space="preserve">ύσεις των Μετόχων της Εταιρίας, </w:t>
      </w:r>
      <w:r w:rsidRPr="002D333D">
        <w:rPr>
          <w:rFonts w:cs="Segoe UI"/>
          <w:color w:val="000000"/>
          <w:sz w:val="24"/>
        </w:rPr>
        <w:t xml:space="preserve">κατόχων </w:t>
      </w:r>
      <w:r w:rsidR="00FF6CAA">
        <w:rPr>
          <w:rFonts w:cs="Segoe UI"/>
          <w:color w:val="000000"/>
          <w:sz w:val="24"/>
        </w:rPr>
        <w:t>κοινών και προνομιούχων μετοχών</w:t>
      </w:r>
      <w:r w:rsidRPr="002D333D">
        <w:rPr>
          <w:rFonts w:cs="Segoe UI"/>
          <w:color w:val="000000"/>
          <w:sz w:val="24"/>
        </w:rPr>
        <w:t xml:space="preserve"> της </w:t>
      </w:r>
      <w:r w:rsidR="00B65A9A">
        <w:rPr>
          <w:rFonts w:cs="Segoe UI"/>
          <w:color w:val="000000"/>
          <w:sz w:val="24"/>
        </w:rPr>
        <w:t>11</w:t>
      </w:r>
      <w:r w:rsidR="00B65A9A" w:rsidRPr="002D333D">
        <w:rPr>
          <w:rFonts w:cs="Segoe UI"/>
          <w:color w:val="000000"/>
          <w:position w:val="8"/>
          <w:sz w:val="24"/>
          <w:vertAlign w:val="superscript"/>
        </w:rPr>
        <w:t xml:space="preserve">ης </w:t>
      </w:r>
      <w:r w:rsidR="00B65A9A" w:rsidRPr="00165640">
        <w:rPr>
          <w:rFonts w:cs="Segoe UI"/>
          <w:color w:val="000000"/>
          <w:sz w:val="24"/>
        </w:rPr>
        <w:t>Ι</w:t>
      </w:r>
      <w:r w:rsidR="00B65A9A">
        <w:rPr>
          <w:rFonts w:cs="Segoe UI"/>
          <w:color w:val="000000"/>
          <w:sz w:val="24"/>
        </w:rPr>
        <w:t>ανουαρίου 2016</w:t>
      </w:r>
      <w:r w:rsidRPr="002D333D">
        <w:rPr>
          <w:rFonts w:cs="Segoe UI"/>
          <w:color w:val="000000"/>
          <w:sz w:val="24"/>
        </w:rPr>
        <w:t xml:space="preserve">. </w:t>
      </w:r>
    </w:p>
    <w:p w:rsidR="002D333D" w:rsidRPr="002D333D" w:rsidRDefault="002D333D" w:rsidP="002D333D">
      <w:pPr>
        <w:autoSpaceDE w:val="0"/>
        <w:autoSpaceDN w:val="0"/>
        <w:adjustRightInd w:val="0"/>
        <w:spacing w:before="240" w:after="60"/>
        <w:jc w:val="left"/>
        <w:outlineLvl w:val="5"/>
        <w:rPr>
          <w:rFonts w:cs="Segoe UI"/>
          <w:color w:val="000000"/>
          <w:sz w:val="24"/>
        </w:rPr>
      </w:pPr>
      <w:r w:rsidRPr="002D333D">
        <w:rPr>
          <w:rFonts w:cs="Segoe UI"/>
          <w:b/>
          <w:bCs/>
          <w:color w:val="000000"/>
          <w:sz w:val="24"/>
        </w:rPr>
        <w:t xml:space="preserve">Α. Απολογισμός χρήσης κεφαλαίων από την προηγούμενη αύξηση </w:t>
      </w:r>
    </w:p>
    <w:p w:rsidR="002D333D" w:rsidRPr="00165640" w:rsidRDefault="002D333D" w:rsidP="002D333D">
      <w:pPr>
        <w:autoSpaceDE w:val="0"/>
        <w:autoSpaceDN w:val="0"/>
        <w:adjustRightInd w:val="0"/>
        <w:spacing w:after="0"/>
        <w:rPr>
          <w:rFonts w:cs="Segoe UI"/>
          <w:color w:val="000000"/>
          <w:sz w:val="24"/>
        </w:rPr>
      </w:pPr>
    </w:p>
    <w:p w:rsidR="00165640" w:rsidRPr="00165640" w:rsidRDefault="002D333D" w:rsidP="002D333D">
      <w:pPr>
        <w:spacing w:line="280" w:lineRule="atLeast"/>
        <w:rPr>
          <w:rFonts w:cs="Segoe UI"/>
          <w:color w:val="000000"/>
          <w:sz w:val="24"/>
        </w:rPr>
      </w:pPr>
      <w:r w:rsidRPr="00165640">
        <w:rPr>
          <w:rFonts w:cs="Segoe UI"/>
          <w:color w:val="000000"/>
          <w:sz w:val="24"/>
        </w:rPr>
        <w:t>Εντός του 2013 ολοκληρώθηκε αύξηση μετοχικού κεφαλαίου, για την ενίσχυση της κεφαλαιακής επάρκειας της εταιρίας, για την αποπληρωμή δανεισμού και για την χρηματοδότηση της νέας δραστηριότητας της επένδυσης της εταιρίας σε ΑΠΕ (φωτοβολταϊκά πάρκα) η οποία αποφασίστ</w:t>
      </w:r>
      <w:r w:rsidR="00720991">
        <w:rPr>
          <w:rFonts w:cs="Segoe UI"/>
          <w:color w:val="000000"/>
          <w:sz w:val="24"/>
        </w:rPr>
        <w:t>ηκε με τις από 10/9/2012 Γενικές Συνελεύ</w:t>
      </w:r>
      <w:r w:rsidRPr="00165640">
        <w:rPr>
          <w:rFonts w:cs="Segoe UI"/>
          <w:color w:val="000000"/>
          <w:sz w:val="24"/>
        </w:rPr>
        <w:t>σ</w:t>
      </w:r>
      <w:r w:rsidR="00720991">
        <w:rPr>
          <w:rFonts w:cs="Segoe UI"/>
          <w:color w:val="000000"/>
          <w:sz w:val="24"/>
        </w:rPr>
        <w:t xml:space="preserve">εις </w:t>
      </w:r>
      <w:r w:rsidR="00FF6CAA">
        <w:rPr>
          <w:rFonts w:cs="Segoe UI"/>
          <w:color w:val="000000"/>
          <w:sz w:val="24"/>
        </w:rPr>
        <w:t>των μετόχων της εταιρίας, κατόχων κοινών και προνομιούχων μετοχών</w:t>
      </w:r>
      <w:r w:rsidRPr="00165640">
        <w:rPr>
          <w:rFonts w:cs="Segoe UI"/>
          <w:color w:val="000000"/>
          <w:sz w:val="24"/>
        </w:rPr>
        <w:t>.</w:t>
      </w:r>
    </w:p>
    <w:p w:rsidR="00165640" w:rsidRPr="00165640" w:rsidRDefault="002D333D" w:rsidP="00165640">
      <w:pPr>
        <w:spacing w:line="280" w:lineRule="atLeast"/>
        <w:rPr>
          <w:rFonts w:cs="Segoe UI"/>
          <w:color w:val="000000"/>
          <w:sz w:val="24"/>
        </w:rPr>
      </w:pPr>
      <w:r w:rsidRPr="00165640">
        <w:rPr>
          <w:rFonts w:cs="Segoe UI"/>
          <w:color w:val="000000"/>
          <w:sz w:val="24"/>
        </w:rPr>
        <w:t xml:space="preserve">Η αύξηση του μετοχικού κεφαλαίου υπελήφθη σημαντικά του στόχου της, και αντί των 2.244.190 νέων κεφαλαίων, συγκεντρώθηκαν μόνο 1.134.830, διότι αντί των 793.000 </w:t>
      </w:r>
      <w:r w:rsidR="00F44929">
        <w:rPr>
          <w:rFonts w:cs="Segoe UI"/>
          <w:color w:val="000000"/>
          <w:sz w:val="24"/>
        </w:rPr>
        <w:t xml:space="preserve">μετοχών </w:t>
      </w:r>
      <w:r w:rsidRPr="00165640">
        <w:rPr>
          <w:rFonts w:cs="Segoe UI"/>
          <w:color w:val="000000"/>
          <w:sz w:val="24"/>
        </w:rPr>
        <w:t>υπήρξε εγγραφή μόνον για 401.000 νέες κοινές ονομαστικές μετοχές. Από τον πίνακα των νέων μετοχών, προκύπτει ότι, πέραν της οικογένειας Μηνά Εφραίμογλου ελάχιστοι άλλοι μέτοχοι ενεγράφησαν. Έτσι, το μετοχικό κεφάλαιο της Εταιρίας αν</w:t>
      </w:r>
      <w:r w:rsidR="00B65A9A">
        <w:rPr>
          <w:rFonts w:cs="Segoe UI"/>
          <w:color w:val="000000"/>
          <w:sz w:val="24"/>
        </w:rPr>
        <w:t>ήλθε</w:t>
      </w:r>
      <w:r w:rsidRPr="00165640">
        <w:rPr>
          <w:rFonts w:cs="Segoe UI"/>
          <w:color w:val="000000"/>
          <w:sz w:val="24"/>
        </w:rPr>
        <w:t xml:space="preserve"> κατά τη χρήση 2013 σε 2.861.130,00 Ευρώ, διαιρούμενο σε 766.000 κοινές, ονομαστικές μετά ψήφου μετοχές και 245.000 προνομιούχες, ονομαστικές άνευ ψήφου μετοχές, ονομαστικής αξίας 2,83 Ευρώ η καθεμία.</w:t>
      </w:r>
    </w:p>
    <w:p w:rsidR="002D333D" w:rsidRPr="00165640" w:rsidRDefault="002D333D" w:rsidP="00165640">
      <w:pPr>
        <w:spacing w:line="280" w:lineRule="atLeast"/>
        <w:rPr>
          <w:rFonts w:cs="Segoe UI"/>
          <w:color w:val="000000"/>
          <w:sz w:val="24"/>
        </w:rPr>
      </w:pPr>
      <w:r w:rsidRPr="00165640">
        <w:rPr>
          <w:rFonts w:cs="Segoe UI"/>
          <w:color w:val="000000"/>
          <w:sz w:val="24"/>
        </w:rPr>
        <w:t>Συγκεκριμένα, τα αντληθέντα κεφάλαια της Αύξησης Μετοχικού Κεφαλαίου διατέθηκαν ως εξής:</w:t>
      </w:r>
    </w:p>
    <w:tbl>
      <w:tblPr>
        <w:tblW w:w="76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564"/>
        <w:gridCol w:w="2070"/>
      </w:tblGrid>
      <w:tr w:rsidR="002D333D" w:rsidRPr="00165640" w:rsidTr="00F44929">
        <w:trPr>
          <w:trHeight w:hRule="exact" w:val="372"/>
          <w:jc w:val="center"/>
        </w:trPr>
        <w:tc>
          <w:tcPr>
            <w:tcW w:w="5564" w:type="dxa"/>
            <w:tcBorders>
              <w:top w:val="single" w:sz="4" w:space="0" w:color="auto"/>
              <w:left w:val="single" w:sz="4" w:space="0" w:color="auto"/>
              <w:bottom w:val="single" w:sz="4" w:space="0" w:color="auto"/>
              <w:right w:val="nil"/>
            </w:tcBorders>
            <w:shd w:val="clear" w:color="auto" w:fill="auto"/>
          </w:tcPr>
          <w:p w:rsidR="002D333D" w:rsidRPr="00165640" w:rsidRDefault="002D333D" w:rsidP="00B4695C">
            <w:pPr>
              <w:autoSpaceDE w:val="0"/>
              <w:autoSpaceDN w:val="0"/>
              <w:adjustRightInd w:val="0"/>
              <w:spacing w:line="280" w:lineRule="atLeast"/>
              <w:rPr>
                <w:rFonts w:cs="Calibri"/>
                <w:b/>
              </w:rPr>
            </w:pPr>
            <w:r w:rsidRPr="00165640">
              <w:rPr>
                <w:rFonts w:cs="Calibri"/>
                <w:b/>
              </w:rPr>
              <w:t>ΠΙΝΑΚΑΣ ΧΡΗΣΗΣ ΚΕΦΑΛΑΙΩΝ</w:t>
            </w:r>
          </w:p>
        </w:tc>
        <w:tc>
          <w:tcPr>
            <w:tcW w:w="2070" w:type="dxa"/>
            <w:tcBorders>
              <w:top w:val="single" w:sz="4" w:space="0" w:color="auto"/>
              <w:left w:val="nil"/>
              <w:bottom w:val="single" w:sz="4" w:space="0" w:color="auto"/>
              <w:right w:val="single" w:sz="4" w:space="0" w:color="auto"/>
            </w:tcBorders>
            <w:shd w:val="clear" w:color="auto" w:fill="auto"/>
          </w:tcPr>
          <w:p w:rsidR="002D333D" w:rsidRPr="00165640" w:rsidRDefault="002D333D" w:rsidP="00B4695C">
            <w:pPr>
              <w:autoSpaceDE w:val="0"/>
              <w:autoSpaceDN w:val="0"/>
              <w:adjustRightInd w:val="0"/>
              <w:spacing w:line="280" w:lineRule="atLeast"/>
              <w:rPr>
                <w:rFonts w:cs="Calibri"/>
                <w:b/>
              </w:rPr>
            </w:pPr>
          </w:p>
        </w:tc>
      </w:tr>
      <w:tr w:rsidR="002D333D" w:rsidRPr="00165640" w:rsidTr="00F44929">
        <w:trPr>
          <w:trHeight w:hRule="exact" w:val="372"/>
          <w:jc w:val="center"/>
        </w:trPr>
        <w:tc>
          <w:tcPr>
            <w:tcW w:w="5564" w:type="dxa"/>
            <w:tcBorders>
              <w:top w:val="single" w:sz="4" w:space="0" w:color="auto"/>
              <w:left w:val="single" w:sz="4" w:space="0" w:color="auto"/>
              <w:bottom w:val="single" w:sz="4" w:space="0" w:color="auto"/>
              <w:right w:val="nil"/>
            </w:tcBorders>
            <w:shd w:val="clear" w:color="auto" w:fill="auto"/>
          </w:tcPr>
          <w:p w:rsidR="002D333D" w:rsidRPr="00165640" w:rsidRDefault="002D333D" w:rsidP="00B4695C">
            <w:pPr>
              <w:autoSpaceDE w:val="0"/>
              <w:autoSpaceDN w:val="0"/>
              <w:adjustRightInd w:val="0"/>
              <w:spacing w:line="280" w:lineRule="atLeast"/>
              <w:rPr>
                <w:rFonts w:cs="Calibri"/>
                <w:b/>
              </w:rPr>
            </w:pPr>
            <w:r w:rsidRPr="00165640">
              <w:rPr>
                <w:rFonts w:cs="Calibri"/>
                <w:b/>
              </w:rPr>
              <w:t>Σκοπός</w:t>
            </w:r>
          </w:p>
        </w:tc>
        <w:tc>
          <w:tcPr>
            <w:tcW w:w="2070" w:type="dxa"/>
            <w:tcBorders>
              <w:top w:val="single" w:sz="4" w:space="0" w:color="auto"/>
              <w:left w:val="nil"/>
              <w:bottom w:val="single" w:sz="4" w:space="0" w:color="auto"/>
              <w:right w:val="single" w:sz="4" w:space="0" w:color="auto"/>
            </w:tcBorders>
            <w:shd w:val="clear" w:color="auto" w:fill="auto"/>
          </w:tcPr>
          <w:p w:rsidR="002D333D" w:rsidRPr="00165640" w:rsidRDefault="002D333D" w:rsidP="00B4695C">
            <w:pPr>
              <w:autoSpaceDE w:val="0"/>
              <w:autoSpaceDN w:val="0"/>
              <w:adjustRightInd w:val="0"/>
              <w:spacing w:line="280" w:lineRule="atLeast"/>
              <w:jc w:val="center"/>
              <w:rPr>
                <w:rFonts w:cs="Calibri"/>
                <w:b/>
              </w:rPr>
            </w:pPr>
            <w:r w:rsidRPr="00165640">
              <w:rPr>
                <w:rFonts w:cs="Calibri"/>
                <w:b/>
              </w:rPr>
              <w:t>Ποσά σε Ευρώ</w:t>
            </w:r>
          </w:p>
        </w:tc>
      </w:tr>
      <w:tr w:rsidR="002D333D" w:rsidRPr="00165640" w:rsidTr="00F44929">
        <w:trPr>
          <w:trHeight w:hRule="exact" w:val="372"/>
          <w:jc w:val="center"/>
        </w:trPr>
        <w:tc>
          <w:tcPr>
            <w:tcW w:w="5564" w:type="dxa"/>
            <w:tcBorders>
              <w:top w:val="single" w:sz="4" w:space="0" w:color="auto"/>
              <w:left w:val="single" w:sz="4" w:space="0" w:color="auto"/>
              <w:bottom w:val="nil"/>
              <w:right w:val="nil"/>
            </w:tcBorders>
            <w:shd w:val="clear" w:color="auto" w:fill="auto"/>
          </w:tcPr>
          <w:p w:rsidR="002D333D" w:rsidRPr="00165640" w:rsidRDefault="002D333D" w:rsidP="00B4695C">
            <w:pPr>
              <w:autoSpaceDE w:val="0"/>
              <w:autoSpaceDN w:val="0"/>
              <w:adjustRightInd w:val="0"/>
              <w:spacing w:line="280" w:lineRule="atLeast"/>
              <w:rPr>
                <w:rFonts w:cs="Calibri"/>
              </w:rPr>
            </w:pPr>
            <w:r w:rsidRPr="00165640">
              <w:rPr>
                <w:rFonts w:cs="Calibri"/>
              </w:rPr>
              <w:t xml:space="preserve">Αποπληρωμή Βραχυπρόθεσμων Τραπεζικών Υποχρεώσεων </w:t>
            </w:r>
          </w:p>
        </w:tc>
        <w:tc>
          <w:tcPr>
            <w:tcW w:w="2070" w:type="dxa"/>
            <w:tcBorders>
              <w:top w:val="single" w:sz="4" w:space="0" w:color="auto"/>
              <w:left w:val="nil"/>
              <w:bottom w:val="nil"/>
              <w:right w:val="single" w:sz="4" w:space="0" w:color="auto"/>
            </w:tcBorders>
            <w:shd w:val="clear" w:color="auto" w:fill="auto"/>
          </w:tcPr>
          <w:p w:rsidR="002D333D" w:rsidRPr="00165640" w:rsidRDefault="002D333D" w:rsidP="00B4695C">
            <w:pPr>
              <w:autoSpaceDE w:val="0"/>
              <w:autoSpaceDN w:val="0"/>
              <w:adjustRightInd w:val="0"/>
              <w:spacing w:line="280" w:lineRule="atLeast"/>
              <w:jc w:val="right"/>
              <w:rPr>
                <w:rFonts w:cs="Calibri"/>
                <w:lang w:val="en-US"/>
              </w:rPr>
            </w:pPr>
            <w:r w:rsidRPr="00165640">
              <w:rPr>
                <w:rFonts w:cs="Calibri"/>
              </w:rPr>
              <w:t>1.075.000</w:t>
            </w:r>
            <w:r w:rsidRPr="00165640">
              <w:rPr>
                <w:rFonts w:cs="Calibri"/>
                <w:lang w:val="en-US"/>
              </w:rPr>
              <w:t>,00</w:t>
            </w:r>
          </w:p>
        </w:tc>
      </w:tr>
      <w:tr w:rsidR="002D333D" w:rsidRPr="00165640" w:rsidTr="00F44929">
        <w:trPr>
          <w:trHeight w:hRule="exact" w:val="372"/>
          <w:jc w:val="center"/>
        </w:trPr>
        <w:tc>
          <w:tcPr>
            <w:tcW w:w="5564" w:type="dxa"/>
            <w:tcBorders>
              <w:top w:val="nil"/>
              <w:left w:val="single" w:sz="4" w:space="0" w:color="auto"/>
              <w:bottom w:val="nil"/>
              <w:right w:val="nil"/>
            </w:tcBorders>
            <w:shd w:val="clear" w:color="auto" w:fill="auto"/>
          </w:tcPr>
          <w:p w:rsidR="002D333D" w:rsidRPr="00165640" w:rsidRDefault="002D333D" w:rsidP="00B4695C">
            <w:pPr>
              <w:autoSpaceDE w:val="0"/>
              <w:autoSpaceDN w:val="0"/>
              <w:adjustRightInd w:val="0"/>
              <w:spacing w:line="280" w:lineRule="atLeast"/>
              <w:rPr>
                <w:rFonts w:cs="Calibri"/>
              </w:rPr>
            </w:pPr>
            <w:r w:rsidRPr="00165640">
              <w:rPr>
                <w:rFonts w:cs="Calibri"/>
              </w:rPr>
              <w:t>Δαπάνες Έκδοσης</w:t>
            </w:r>
          </w:p>
        </w:tc>
        <w:tc>
          <w:tcPr>
            <w:tcW w:w="2070" w:type="dxa"/>
            <w:tcBorders>
              <w:top w:val="nil"/>
              <w:left w:val="nil"/>
              <w:bottom w:val="nil"/>
              <w:right w:val="single" w:sz="4" w:space="0" w:color="auto"/>
            </w:tcBorders>
            <w:shd w:val="clear" w:color="auto" w:fill="auto"/>
          </w:tcPr>
          <w:p w:rsidR="002D333D" w:rsidRPr="00165640" w:rsidRDefault="002D333D" w:rsidP="00B4695C">
            <w:pPr>
              <w:autoSpaceDE w:val="0"/>
              <w:autoSpaceDN w:val="0"/>
              <w:adjustRightInd w:val="0"/>
              <w:spacing w:line="280" w:lineRule="atLeast"/>
              <w:jc w:val="right"/>
              <w:rPr>
                <w:rFonts w:cs="Calibri"/>
              </w:rPr>
            </w:pPr>
            <w:r w:rsidRPr="00165640">
              <w:rPr>
                <w:rFonts w:cs="Calibri"/>
              </w:rPr>
              <w:t>37</w:t>
            </w:r>
            <w:r w:rsidRPr="00165640">
              <w:rPr>
                <w:rFonts w:cs="Calibri"/>
                <w:lang w:val="en-US"/>
              </w:rPr>
              <w:t>.</w:t>
            </w:r>
            <w:r w:rsidRPr="00165640">
              <w:rPr>
                <w:rFonts w:cs="Calibri"/>
              </w:rPr>
              <w:t>820</w:t>
            </w:r>
            <w:r w:rsidRPr="00165640">
              <w:rPr>
                <w:rFonts w:cs="Calibri"/>
                <w:lang w:val="en-US"/>
              </w:rPr>
              <w:t>,22</w:t>
            </w:r>
            <w:r w:rsidRPr="00165640">
              <w:rPr>
                <w:rFonts w:cs="Calibri"/>
              </w:rPr>
              <w:t xml:space="preserve">                                   </w:t>
            </w:r>
          </w:p>
        </w:tc>
      </w:tr>
      <w:tr w:rsidR="002D333D" w:rsidRPr="00165640" w:rsidTr="00F44929">
        <w:trPr>
          <w:trHeight w:hRule="exact" w:val="372"/>
          <w:jc w:val="center"/>
        </w:trPr>
        <w:tc>
          <w:tcPr>
            <w:tcW w:w="5564" w:type="dxa"/>
            <w:tcBorders>
              <w:top w:val="nil"/>
              <w:left w:val="single" w:sz="4" w:space="0" w:color="auto"/>
              <w:bottom w:val="nil"/>
              <w:right w:val="nil"/>
            </w:tcBorders>
            <w:shd w:val="clear" w:color="auto" w:fill="auto"/>
          </w:tcPr>
          <w:p w:rsidR="002D333D" w:rsidRPr="00165640" w:rsidRDefault="00F44929" w:rsidP="00B65A9A">
            <w:pPr>
              <w:autoSpaceDE w:val="0"/>
              <w:autoSpaceDN w:val="0"/>
              <w:adjustRightInd w:val="0"/>
              <w:spacing w:line="280" w:lineRule="atLeast"/>
              <w:rPr>
                <w:rFonts w:cs="Calibri"/>
              </w:rPr>
            </w:pPr>
            <w:r>
              <w:rPr>
                <w:rFonts w:cs="Calibri"/>
              </w:rPr>
              <w:t>Κεφάλαιο κίνησης</w:t>
            </w:r>
            <w:r w:rsidR="002D333D" w:rsidRPr="00165640">
              <w:rPr>
                <w:rFonts w:cs="Calibri"/>
              </w:rPr>
              <w:t xml:space="preserve"> </w:t>
            </w:r>
          </w:p>
        </w:tc>
        <w:tc>
          <w:tcPr>
            <w:tcW w:w="2070" w:type="dxa"/>
            <w:tcBorders>
              <w:top w:val="nil"/>
              <w:left w:val="nil"/>
              <w:bottom w:val="nil"/>
              <w:right w:val="single" w:sz="4" w:space="0" w:color="auto"/>
            </w:tcBorders>
            <w:shd w:val="clear" w:color="auto" w:fill="auto"/>
          </w:tcPr>
          <w:p w:rsidR="002D333D" w:rsidRPr="00165640" w:rsidRDefault="002D333D" w:rsidP="00B4695C">
            <w:pPr>
              <w:autoSpaceDE w:val="0"/>
              <w:autoSpaceDN w:val="0"/>
              <w:adjustRightInd w:val="0"/>
              <w:spacing w:line="280" w:lineRule="atLeast"/>
              <w:jc w:val="right"/>
              <w:rPr>
                <w:rFonts w:cs="Calibri"/>
                <w:lang w:val="en-US"/>
              </w:rPr>
            </w:pPr>
            <w:r w:rsidRPr="00165640">
              <w:rPr>
                <w:rFonts w:cs="Calibri"/>
                <w:lang w:val="en-US"/>
              </w:rPr>
              <w:t>22.009,78</w:t>
            </w:r>
          </w:p>
        </w:tc>
      </w:tr>
      <w:tr w:rsidR="002D333D" w:rsidRPr="00165640" w:rsidTr="00F44929">
        <w:trPr>
          <w:trHeight w:hRule="exact" w:val="372"/>
          <w:jc w:val="center"/>
        </w:trPr>
        <w:tc>
          <w:tcPr>
            <w:tcW w:w="5564" w:type="dxa"/>
            <w:tcBorders>
              <w:top w:val="single" w:sz="4" w:space="0" w:color="auto"/>
              <w:left w:val="single" w:sz="4" w:space="0" w:color="auto"/>
              <w:bottom w:val="single" w:sz="4" w:space="0" w:color="auto"/>
              <w:right w:val="nil"/>
            </w:tcBorders>
            <w:shd w:val="clear" w:color="auto" w:fill="auto"/>
          </w:tcPr>
          <w:p w:rsidR="002D333D" w:rsidRPr="00165640" w:rsidRDefault="002D333D" w:rsidP="00B4695C">
            <w:pPr>
              <w:autoSpaceDE w:val="0"/>
              <w:autoSpaceDN w:val="0"/>
              <w:adjustRightInd w:val="0"/>
              <w:spacing w:line="280" w:lineRule="atLeast"/>
              <w:rPr>
                <w:rFonts w:cs="Calibri"/>
                <w:b/>
              </w:rPr>
            </w:pPr>
            <w:r w:rsidRPr="00165640">
              <w:rPr>
                <w:rFonts w:cs="Calibri"/>
                <w:b/>
              </w:rPr>
              <w:t>Σύνολο</w:t>
            </w:r>
          </w:p>
        </w:tc>
        <w:tc>
          <w:tcPr>
            <w:tcW w:w="2070" w:type="dxa"/>
            <w:tcBorders>
              <w:top w:val="single" w:sz="4" w:space="0" w:color="auto"/>
              <w:left w:val="nil"/>
              <w:bottom w:val="single" w:sz="4" w:space="0" w:color="auto"/>
              <w:right w:val="single" w:sz="4" w:space="0" w:color="auto"/>
            </w:tcBorders>
            <w:shd w:val="clear" w:color="auto" w:fill="auto"/>
          </w:tcPr>
          <w:p w:rsidR="002D333D" w:rsidRPr="00165640" w:rsidRDefault="002D333D" w:rsidP="00B4695C">
            <w:pPr>
              <w:autoSpaceDE w:val="0"/>
              <w:autoSpaceDN w:val="0"/>
              <w:adjustRightInd w:val="0"/>
              <w:spacing w:line="280" w:lineRule="atLeast"/>
              <w:jc w:val="right"/>
              <w:rPr>
                <w:rFonts w:cs="Calibri"/>
                <w:b/>
                <w:lang w:val="en-US"/>
              </w:rPr>
            </w:pPr>
            <w:r w:rsidRPr="00165640">
              <w:rPr>
                <w:rFonts w:cs="Calibri"/>
                <w:b/>
              </w:rPr>
              <w:t>1.134.830</w:t>
            </w:r>
            <w:r w:rsidRPr="00165640">
              <w:rPr>
                <w:rFonts w:cs="Calibri"/>
                <w:b/>
                <w:lang w:val="en-US"/>
              </w:rPr>
              <w:t>,00</w:t>
            </w:r>
          </w:p>
        </w:tc>
      </w:tr>
    </w:tbl>
    <w:p w:rsidR="00F44929" w:rsidRDefault="00F44929" w:rsidP="002D333D">
      <w:pPr>
        <w:autoSpaceDE w:val="0"/>
        <w:autoSpaceDN w:val="0"/>
        <w:adjustRightInd w:val="0"/>
        <w:spacing w:before="240" w:after="60"/>
        <w:jc w:val="left"/>
        <w:outlineLvl w:val="5"/>
        <w:rPr>
          <w:rFonts w:cs="Segoe UI"/>
          <w:b/>
          <w:bCs/>
          <w:color w:val="000000"/>
          <w:sz w:val="24"/>
        </w:rPr>
      </w:pPr>
    </w:p>
    <w:p w:rsidR="002D333D" w:rsidRPr="00165640" w:rsidRDefault="002D333D" w:rsidP="002D333D">
      <w:pPr>
        <w:autoSpaceDE w:val="0"/>
        <w:autoSpaceDN w:val="0"/>
        <w:adjustRightInd w:val="0"/>
        <w:spacing w:before="240" w:after="60"/>
        <w:jc w:val="left"/>
        <w:outlineLvl w:val="5"/>
        <w:rPr>
          <w:rFonts w:cs="Segoe UI"/>
          <w:b/>
          <w:bCs/>
          <w:color w:val="000000"/>
          <w:sz w:val="24"/>
        </w:rPr>
      </w:pPr>
      <w:r w:rsidRPr="002D333D">
        <w:rPr>
          <w:rFonts w:cs="Segoe UI"/>
          <w:b/>
          <w:bCs/>
          <w:color w:val="000000"/>
          <w:sz w:val="24"/>
        </w:rPr>
        <w:t xml:space="preserve">Β. Σκοπός διάθεσης των υπό άντληση κεφαλαίων </w:t>
      </w:r>
    </w:p>
    <w:p w:rsidR="005041BA" w:rsidRDefault="005041BA" w:rsidP="002D333D">
      <w:pPr>
        <w:autoSpaceDE w:val="0"/>
        <w:autoSpaceDN w:val="0"/>
        <w:adjustRightInd w:val="0"/>
        <w:spacing w:after="0"/>
        <w:rPr>
          <w:rFonts w:cs="Segoe UI"/>
          <w:color w:val="000000"/>
          <w:sz w:val="24"/>
        </w:rPr>
      </w:pPr>
    </w:p>
    <w:p w:rsidR="002D333D" w:rsidRPr="002D333D" w:rsidRDefault="002D333D" w:rsidP="002D333D">
      <w:pPr>
        <w:autoSpaceDE w:val="0"/>
        <w:autoSpaceDN w:val="0"/>
        <w:adjustRightInd w:val="0"/>
        <w:spacing w:after="0"/>
        <w:rPr>
          <w:rFonts w:cs="Segoe UI"/>
          <w:color w:val="000000"/>
          <w:sz w:val="24"/>
        </w:rPr>
      </w:pPr>
      <w:r w:rsidRPr="002D333D">
        <w:rPr>
          <w:rFonts w:cs="Segoe UI"/>
          <w:color w:val="000000"/>
          <w:sz w:val="24"/>
        </w:rPr>
        <w:t>Τα συνολικά κεφάλαια που θα συγκεντρωθούν από την προτεινόμενη αύξηση του μετοχικού κεφαλαίου</w:t>
      </w:r>
      <w:r w:rsidR="005041BA">
        <w:rPr>
          <w:rFonts w:cs="Segoe UI"/>
          <w:color w:val="000000"/>
          <w:sz w:val="24"/>
        </w:rPr>
        <w:t xml:space="preserve"> με καταβολή μετρητών</w:t>
      </w:r>
      <w:r w:rsidRPr="002D333D">
        <w:rPr>
          <w:rFonts w:cs="Segoe UI"/>
          <w:color w:val="000000"/>
          <w:sz w:val="24"/>
        </w:rPr>
        <w:t xml:space="preserve">, θα διατεθούν κυρίως για την ενίσχυση της κεφαλαιακής επάρκειας της Εταιρίας και συγκεκριμένα για την αποπληρωμή υφιστάμενων βραχυπρόθεσμων τραπεζικών υποχρεώσεων </w:t>
      </w:r>
      <w:r w:rsidR="005041BA">
        <w:rPr>
          <w:rFonts w:cs="Segoe UI"/>
          <w:color w:val="000000"/>
          <w:sz w:val="24"/>
        </w:rPr>
        <w:t>της.</w:t>
      </w:r>
    </w:p>
    <w:p w:rsidR="00165640" w:rsidRDefault="002D333D" w:rsidP="00165640">
      <w:pPr>
        <w:autoSpaceDE w:val="0"/>
        <w:autoSpaceDN w:val="0"/>
        <w:adjustRightInd w:val="0"/>
        <w:spacing w:before="240" w:after="60"/>
        <w:jc w:val="left"/>
        <w:outlineLvl w:val="5"/>
        <w:rPr>
          <w:rFonts w:cs="Segoe UI"/>
          <w:b/>
          <w:bCs/>
          <w:color w:val="000000"/>
          <w:sz w:val="24"/>
        </w:rPr>
      </w:pPr>
      <w:r w:rsidRPr="002D333D">
        <w:rPr>
          <w:rFonts w:cs="Segoe UI"/>
          <w:b/>
          <w:bCs/>
          <w:color w:val="000000"/>
          <w:sz w:val="24"/>
        </w:rPr>
        <w:t xml:space="preserve">Γ. Δηλώσεις βασικών μετόχων </w:t>
      </w:r>
    </w:p>
    <w:p w:rsidR="002D333D" w:rsidRPr="002D333D" w:rsidRDefault="002D333D" w:rsidP="005041BA">
      <w:pPr>
        <w:autoSpaceDE w:val="0"/>
        <w:autoSpaceDN w:val="0"/>
        <w:adjustRightInd w:val="0"/>
        <w:spacing w:before="240" w:after="60"/>
        <w:outlineLvl w:val="5"/>
        <w:rPr>
          <w:rFonts w:cs="Segoe UI"/>
          <w:color w:val="000000"/>
          <w:sz w:val="24"/>
        </w:rPr>
      </w:pPr>
      <w:r w:rsidRPr="002D333D">
        <w:rPr>
          <w:rFonts w:cs="Segoe UI"/>
          <w:color w:val="000000"/>
          <w:sz w:val="24"/>
        </w:rPr>
        <w:t xml:space="preserve">Οι βασικοί μέτοχοι (οικογένεια Εφραίμογλου) όπως ενημέρωσαν το Διοικητικό Συμβούλιο της Εταιρίας, προτίθενται να καλύψουν την αναλογία τους στη παρούσα αύξηση, καθώς και να διατηρήσουν το ποσοστό συμμετοχής τους στην Εταιρία, μέχρι: α) την ολοκλήρωση της αύξησης και την εισαγωγή προς διαπραγμάτευση των νέων μετοχών και β) εφόσον οι γενικότερες συνθήκες της κεφαλαιαγοράς το επιτρέψουν, για χρονικό διάστημα έξι (6) μηνών από την έναρξη διαπραγμάτευσης των νέων μετοχών που θα προκύψουν από τη παρούσα αύξηση μετοχικού κεφαλαίου. </w:t>
      </w:r>
    </w:p>
    <w:p w:rsidR="005041BA" w:rsidRDefault="002D333D" w:rsidP="005041BA">
      <w:pPr>
        <w:autoSpaceDE w:val="0"/>
        <w:autoSpaceDN w:val="0"/>
        <w:adjustRightInd w:val="0"/>
        <w:spacing w:before="240" w:after="60"/>
        <w:jc w:val="left"/>
        <w:outlineLvl w:val="5"/>
        <w:rPr>
          <w:rFonts w:cs="Segoe UI"/>
          <w:b/>
          <w:bCs/>
          <w:color w:val="000000"/>
          <w:sz w:val="24"/>
        </w:rPr>
      </w:pPr>
      <w:r w:rsidRPr="002D333D">
        <w:rPr>
          <w:rFonts w:cs="Segoe UI"/>
          <w:b/>
          <w:bCs/>
          <w:color w:val="000000"/>
          <w:sz w:val="24"/>
        </w:rPr>
        <w:t xml:space="preserve">Δ. Τιμή διάθεσης </w:t>
      </w:r>
    </w:p>
    <w:p w:rsidR="002D333D" w:rsidRDefault="00916F0E" w:rsidP="005041BA">
      <w:pPr>
        <w:autoSpaceDE w:val="0"/>
        <w:autoSpaceDN w:val="0"/>
        <w:adjustRightInd w:val="0"/>
        <w:spacing w:before="240" w:after="60"/>
        <w:outlineLvl w:val="5"/>
        <w:rPr>
          <w:rFonts w:cs="Segoe UI"/>
          <w:color w:val="000000"/>
          <w:sz w:val="24"/>
        </w:rPr>
      </w:pPr>
      <w:r>
        <w:rPr>
          <w:rFonts w:cs="Segoe UI"/>
          <w:color w:val="000000"/>
          <w:sz w:val="24"/>
        </w:rPr>
        <w:t xml:space="preserve">Το ύψος της αύξησης του μετοχικού κεφαλαίου και η τιμή διάθεσης </w:t>
      </w:r>
      <w:r w:rsidR="002D333D" w:rsidRPr="002D333D">
        <w:rPr>
          <w:rFonts w:cs="Segoe UI"/>
          <w:color w:val="000000"/>
          <w:sz w:val="24"/>
        </w:rPr>
        <w:t xml:space="preserve">των νέων μετοχών </w:t>
      </w:r>
      <w:r>
        <w:rPr>
          <w:rFonts w:cs="Segoe UI"/>
          <w:color w:val="000000"/>
          <w:sz w:val="24"/>
        </w:rPr>
        <w:t>θα καθοριστεί από τις Γε</w:t>
      </w:r>
      <w:r w:rsidR="00A7596C">
        <w:rPr>
          <w:rFonts w:cs="Segoe UI"/>
          <w:color w:val="000000"/>
          <w:sz w:val="24"/>
        </w:rPr>
        <w:t>νικές Συνελεύσεις των μετόχων. Ό</w:t>
      </w:r>
      <w:r>
        <w:rPr>
          <w:rFonts w:cs="Segoe UI"/>
          <w:color w:val="000000"/>
          <w:sz w:val="24"/>
        </w:rPr>
        <w:t>λως ενδεικτικώς αναφέρεται το ποσό των 1.1</w:t>
      </w:r>
      <w:r w:rsidR="00A7596C">
        <w:rPr>
          <w:rFonts w:cs="Segoe UI"/>
          <w:color w:val="000000"/>
          <w:sz w:val="24"/>
        </w:rPr>
        <w:t>1</w:t>
      </w:r>
      <w:r>
        <w:rPr>
          <w:rFonts w:cs="Segoe UI"/>
          <w:color w:val="000000"/>
          <w:sz w:val="24"/>
        </w:rPr>
        <w:t>0.000 ευρώ πλέον ή έλλατον</w:t>
      </w:r>
      <w:r w:rsidR="00FF6CAA">
        <w:rPr>
          <w:rFonts w:cs="Segoe UI"/>
          <w:color w:val="000000"/>
          <w:sz w:val="24"/>
        </w:rPr>
        <w:t>,</w:t>
      </w:r>
      <w:r>
        <w:rPr>
          <w:rFonts w:cs="Segoe UI"/>
          <w:color w:val="000000"/>
          <w:sz w:val="24"/>
        </w:rPr>
        <w:t xml:space="preserve"> </w:t>
      </w:r>
      <w:r w:rsidR="00A7596C" w:rsidRPr="002D333D">
        <w:rPr>
          <w:rFonts w:cs="Segoe UI"/>
          <w:color w:val="000000"/>
          <w:sz w:val="24"/>
        </w:rPr>
        <w:t>μέσω έκδοσης νέων κοινών, άυλων, ονομαστικών μετά ψήφου μετοχών</w:t>
      </w:r>
      <w:r w:rsidR="00A7596C">
        <w:rPr>
          <w:rFonts w:cs="Segoe UI"/>
          <w:color w:val="000000"/>
          <w:sz w:val="24"/>
        </w:rPr>
        <w:t xml:space="preserve">, </w:t>
      </w:r>
      <w:r w:rsidR="00A7596C" w:rsidRPr="002D333D">
        <w:rPr>
          <w:rFonts w:cs="Segoe UI"/>
          <w:color w:val="000000"/>
          <w:sz w:val="24"/>
        </w:rPr>
        <w:t>με δικαίωμα προτίμησης υπέρ των παλαιών μ</w:t>
      </w:r>
      <w:r w:rsidR="00A7596C" w:rsidRPr="00165640">
        <w:rPr>
          <w:rFonts w:cs="Segoe UI"/>
          <w:color w:val="000000"/>
          <w:sz w:val="24"/>
        </w:rPr>
        <w:t>ετόχων</w:t>
      </w:r>
      <w:r w:rsidR="00FF6CAA">
        <w:rPr>
          <w:rFonts w:cs="Segoe UI"/>
          <w:color w:val="000000"/>
          <w:sz w:val="24"/>
        </w:rPr>
        <w:t>,</w:t>
      </w:r>
      <w:r w:rsidR="00A7596C">
        <w:rPr>
          <w:rFonts w:cs="Segoe UI"/>
          <w:color w:val="000000"/>
          <w:sz w:val="24"/>
        </w:rPr>
        <w:t xml:space="preserve"> </w:t>
      </w:r>
      <w:r w:rsidR="00FF6CAA">
        <w:rPr>
          <w:rFonts w:cs="Segoe UI"/>
          <w:color w:val="000000"/>
          <w:sz w:val="24"/>
        </w:rPr>
        <w:t xml:space="preserve">κατόχων κοινών και προνομιούχων μετοχών, </w:t>
      </w:r>
      <w:r w:rsidR="00A7596C">
        <w:rPr>
          <w:rFonts w:cs="Segoe UI"/>
          <w:color w:val="000000"/>
          <w:sz w:val="24"/>
        </w:rPr>
        <w:t>και λοιπούς όρους που θα αποφασιστούν από την Έκτακτες Γενικές Συνελεύσεις της 11</w:t>
      </w:r>
      <w:r w:rsidR="00A7596C" w:rsidRPr="00A7596C">
        <w:rPr>
          <w:rFonts w:cs="Segoe UI"/>
          <w:color w:val="000000"/>
          <w:sz w:val="24"/>
          <w:vertAlign w:val="superscript"/>
        </w:rPr>
        <w:t>ης</w:t>
      </w:r>
      <w:r w:rsidR="00A7596C">
        <w:rPr>
          <w:rFonts w:cs="Segoe UI"/>
          <w:color w:val="000000"/>
          <w:sz w:val="24"/>
        </w:rPr>
        <w:t xml:space="preserve"> Ιανουαρίου 2016, κατόπιν σχετικής εισήγησης του Διοικητικού Συμβουλίου. </w:t>
      </w:r>
    </w:p>
    <w:p w:rsidR="00A7596C" w:rsidRPr="000D64C6" w:rsidRDefault="00A7596C" w:rsidP="005041BA">
      <w:pPr>
        <w:autoSpaceDE w:val="0"/>
        <w:autoSpaceDN w:val="0"/>
        <w:adjustRightInd w:val="0"/>
        <w:spacing w:before="240" w:after="60"/>
        <w:outlineLvl w:val="5"/>
        <w:rPr>
          <w:rFonts w:cs="Segoe UI"/>
          <w:color w:val="000000"/>
          <w:sz w:val="24"/>
        </w:rPr>
      </w:pPr>
    </w:p>
    <w:p w:rsidR="002D333D" w:rsidRPr="002D333D" w:rsidRDefault="00A7596C" w:rsidP="002D333D">
      <w:pPr>
        <w:autoSpaceDE w:val="0"/>
        <w:autoSpaceDN w:val="0"/>
        <w:adjustRightInd w:val="0"/>
        <w:spacing w:after="0"/>
        <w:jc w:val="center"/>
        <w:rPr>
          <w:rFonts w:cs="Segoe UI"/>
          <w:color w:val="000000"/>
          <w:sz w:val="24"/>
        </w:rPr>
      </w:pPr>
      <w:r>
        <w:rPr>
          <w:rFonts w:cs="Segoe UI"/>
          <w:b/>
          <w:bCs/>
          <w:color w:val="000000"/>
          <w:sz w:val="24"/>
        </w:rPr>
        <w:t>Αθήνα, 15</w:t>
      </w:r>
      <w:r w:rsidR="002D333D" w:rsidRPr="002D333D">
        <w:rPr>
          <w:rFonts w:cs="Segoe UI"/>
          <w:b/>
          <w:bCs/>
          <w:color w:val="000000"/>
          <w:sz w:val="24"/>
        </w:rPr>
        <w:t xml:space="preserve"> </w:t>
      </w:r>
      <w:r>
        <w:rPr>
          <w:rFonts w:cs="Segoe UI"/>
          <w:b/>
          <w:bCs/>
          <w:color w:val="000000"/>
          <w:sz w:val="24"/>
        </w:rPr>
        <w:t>Δεκεμβρίου 2015</w:t>
      </w:r>
      <w:r w:rsidR="002D333D" w:rsidRPr="002D333D">
        <w:rPr>
          <w:rFonts w:cs="Segoe UI"/>
          <w:b/>
          <w:bCs/>
          <w:color w:val="000000"/>
          <w:sz w:val="24"/>
        </w:rPr>
        <w:t xml:space="preserve"> </w:t>
      </w:r>
    </w:p>
    <w:p w:rsidR="002D333D" w:rsidRPr="002D333D" w:rsidRDefault="002D333D" w:rsidP="00165640">
      <w:pPr>
        <w:autoSpaceDE w:val="0"/>
        <w:autoSpaceDN w:val="0"/>
        <w:adjustRightInd w:val="0"/>
        <w:spacing w:after="0"/>
        <w:jc w:val="center"/>
        <w:rPr>
          <w:rFonts w:cs="Segoe UI"/>
          <w:color w:val="000000"/>
          <w:sz w:val="24"/>
        </w:rPr>
      </w:pPr>
      <w:r w:rsidRPr="002D333D">
        <w:rPr>
          <w:rFonts w:cs="Segoe UI"/>
          <w:b/>
          <w:bCs/>
          <w:color w:val="000000"/>
          <w:sz w:val="24"/>
        </w:rPr>
        <w:t>Το Διοικητικό Συμβούλιο της</w:t>
      </w:r>
    </w:p>
    <w:p w:rsidR="00330412" w:rsidRPr="00165640" w:rsidRDefault="002D333D" w:rsidP="00165640">
      <w:pPr>
        <w:jc w:val="center"/>
        <w:rPr>
          <w:sz w:val="24"/>
        </w:rPr>
      </w:pPr>
      <w:r w:rsidRPr="00165640">
        <w:rPr>
          <w:rFonts w:cs="Segoe UI"/>
          <w:b/>
          <w:bCs/>
          <w:color w:val="000000"/>
          <w:sz w:val="24"/>
        </w:rPr>
        <w:t>ΕΡΙΟΥΡΓΙΑ ΤΡΙΑ ΑΛΦΑ Α.Ε.</w:t>
      </w:r>
    </w:p>
    <w:sectPr w:rsidR="00330412" w:rsidRPr="00165640" w:rsidSect="0033041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Segoe UI">
    <w:altName w:val="Segoe UI"/>
    <w:panose1 w:val="020B0502040204020203"/>
    <w:charset w:val="A1"/>
    <w:family w:val="swiss"/>
    <w:pitch w:val="variable"/>
    <w:sig w:usb0="E00022FF" w:usb1="C000205B" w:usb2="00000009" w:usb3="00000000" w:csb0="000001D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53E0"/>
    <w:multiLevelType w:val="singleLevel"/>
    <w:tmpl w:val="0408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2D333D"/>
    <w:rsid w:val="000C6453"/>
    <w:rsid w:val="000D64C6"/>
    <w:rsid w:val="00165640"/>
    <w:rsid w:val="00260F8D"/>
    <w:rsid w:val="002D333D"/>
    <w:rsid w:val="00330412"/>
    <w:rsid w:val="003C2016"/>
    <w:rsid w:val="005041BA"/>
    <w:rsid w:val="00664C7D"/>
    <w:rsid w:val="00720991"/>
    <w:rsid w:val="00732987"/>
    <w:rsid w:val="00916F0E"/>
    <w:rsid w:val="00921C36"/>
    <w:rsid w:val="00926297"/>
    <w:rsid w:val="00A237DF"/>
    <w:rsid w:val="00A7596C"/>
    <w:rsid w:val="00A871F9"/>
    <w:rsid w:val="00B65A9A"/>
    <w:rsid w:val="00B96E62"/>
    <w:rsid w:val="00CE46CE"/>
    <w:rsid w:val="00E3008A"/>
    <w:rsid w:val="00F44929"/>
    <w:rsid w:val="00FF6CA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412"/>
  </w:style>
  <w:style w:type="paragraph" w:styleId="6">
    <w:name w:val="heading 6"/>
    <w:basedOn w:val="Default"/>
    <w:next w:val="Default"/>
    <w:link w:val="6Char"/>
    <w:uiPriority w:val="99"/>
    <w:qFormat/>
    <w:rsid w:val="002D333D"/>
    <w:pPr>
      <w:outlineLvl w:val="5"/>
    </w:pPr>
    <w:rPr>
      <w:color w:val="aut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Char">
    <w:name w:val="Επικεφαλίδα 6 Char"/>
    <w:basedOn w:val="a0"/>
    <w:link w:val="6"/>
    <w:uiPriority w:val="99"/>
    <w:rsid w:val="002D333D"/>
    <w:rPr>
      <w:rFonts w:ascii="Segoe UI" w:hAnsi="Segoe UI" w:cs="Segoe UI"/>
      <w:sz w:val="24"/>
      <w:szCs w:val="24"/>
    </w:rPr>
  </w:style>
  <w:style w:type="paragraph" w:customStyle="1" w:styleId="Default">
    <w:name w:val="Default"/>
    <w:rsid w:val="002D333D"/>
    <w:pPr>
      <w:autoSpaceDE w:val="0"/>
      <w:autoSpaceDN w:val="0"/>
      <w:adjustRightInd w:val="0"/>
      <w:spacing w:after="0"/>
      <w:jc w:val="left"/>
    </w:pPr>
    <w:rPr>
      <w:rFonts w:ascii="Segoe UI" w:hAnsi="Segoe UI" w:cs="Segoe UI"/>
      <w:color w:val="000000"/>
      <w:sz w:val="24"/>
      <w:szCs w:val="24"/>
    </w:rPr>
  </w:style>
  <w:style w:type="paragraph" w:customStyle="1" w:styleId="fi">
    <w:name w:val="ΓfiΓΎΓ¬Γ΅ ΓΓ¥Γ©Γ¬ΓΓ.Γ―Γµ"/>
    <w:basedOn w:val="Default"/>
    <w:next w:val="Default"/>
    <w:uiPriority w:val="99"/>
    <w:rsid w:val="002D333D"/>
    <w:rPr>
      <w:color w:val="auto"/>
    </w:rPr>
  </w:style>
  <w:style w:type="paragraph" w:customStyle="1" w:styleId="Default1">
    <w:name w:val="Default1"/>
    <w:basedOn w:val="Default"/>
    <w:next w:val="Default"/>
    <w:uiPriority w:val="99"/>
    <w:rsid w:val="002D333D"/>
    <w:rPr>
      <w:color w:val="auto"/>
    </w:rPr>
  </w:style>
  <w:style w:type="character" w:customStyle="1" w:styleId="apple-converted-space">
    <w:name w:val="apple-converted-space"/>
    <w:basedOn w:val="a0"/>
    <w:rsid w:val="005041BA"/>
  </w:style>
  <w:style w:type="character" w:styleId="a3">
    <w:name w:val="Strong"/>
    <w:basedOn w:val="a0"/>
    <w:uiPriority w:val="22"/>
    <w:qFormat/>
    <w:rsid w:val="005041BA"/>
    <w:rPr>
      <w:b/>
      <w:bCs/>
    </w:rPr>
  </w:style>
  <w:style w:type="paragraph" w:styleId="a4">
    <w:name w:val="Balloon Text"/>
    <w:basedOn w:val="a"/>
    <w:link w:val="Char"/>
    <w:uiPriority w:val="99"/>
    <w:semiHidden/>
    <w:unhideWhenUsed/>
    <w:rsid w:val="00720991"/>
    <w:pPr>
      <w:spacing w:after="0"/>
    </w:pPr>
    <w:rPr>
      <w:rFonts w:ascii="Tahoma" w:hAnsi="Tahoma" w:cs="Tahoma"/>
      <w:sz w:val="16"/>
      <w:szCs w:val="16"/>
    </w:rPr>
  </w:style>
  <w:style w:type="character" w:customStyle="1" w:styleId="Char">
    <w:name w:val="Κείμενο πλαισίου Char"/>
    <w:basedOn w:val="a0"/>
    <w:link w:val="a4"/>
    <w:uiPriority w:val="99"/>
    <w:semiHidden/>
    <w:rsid w:val="007209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DBEFB-448B-4D58-B79D-4481F658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606</Words>
  <Characters>3274</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3A</Company>
  <LinksUpToDate>false</LinksUpToDate>
  <CharactersWithSpaces>3873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mixalis</dc:creator>
  <cp:keywords/>
  <dc:description/>
  <cp:lastModifiedBy>mixalis</cp:lastModifiedBy>
  <cp:revision>6</cp:revision>
  <cp:lastPrinted>2015-12-16T07:49:00Z</cp:lastPrinted>
  <dcterms:created xsi:type="dcterms:W3CDTF">2015-12-16T07:03:00Z</dcterms:created>
  <dcterms:modified xsi:type="dcterms:W3CDTF">2015-12-16T08:02:00Z</dcterms:modified>
</cp:coreProperties>
</file>