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F4C" w:rsidRPr="00CC461A" w:rsidRDefault="0020354B" w:rsidP="0020354B">
      <w:pPr>
        <w:pStyle w:val="NormalWeb"/>
        <w:jc w:val="center"/>
        <w:rPr>
          <w:rFonts w:ascii="Tahoma" w:hAnsi="Tahoma" w:cs="Tahoma"/>
          <w:b/>
          <w:bCs/>
          <w:noProof/>
          <w:sz w:val="20"/>
          <w:szCs w:val="20"/>
        </w:rPr>
      </w:pPr>
      <w:r w:rsidRPr="00CC461A">
        <w:rPr>
          <w:rFonts w:ascii="Verdana" w:hAnsi="Verdana"/>
          <w:b/>
          <w:bCs/>
          <w:noProof/>
          <w:sz w:val="20"/>
          <w:szCs w:val="20"/>
        </w:rPr>
        <w:drawing>
          <wp:inline distT="0" distB="0" distL="0" distR="0" wp14:anchorId="1C75439E" wp14:editId="59AFB2C7">
            <wp:extent cx="4594860" cy="297180"/>
            <wp:effectExtent l="0" t="0" r="0" b="7620"/>
            <wp:docPr id="2" name="Picture 2" descr="ET-HELEX-GR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-HELEX-GR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468" w:rsidRPr="00CC461A" w:rsidRDefault="00D14E30" w:rsidP="00A84532">
      <w:pPr>
        <w:pStyle w:val="NormalWeb"/>
        <w:jc w:val="both"/>
        <w:rPr>
          <w:rFonts w:ascii="Verdana" w:hAnsi="Verdana" w:cs="Tahoma"/>
          <w:sz w:val="20"/>
          <w:szCs w:val="20"/>
        </w:rPr>
      </w:pPr>
      <w:r w:rsidRPr="00CC461A">
        <w:rPr>
          <w:rFonts w:ascii="Verdana" w:hAnsi="Verdana" w:cs="Tahoma"/>
          <w:sz w:val="20"/>
          <w:szCs w:val="20"/>
        </w:rPr>
        <w:tab/>
      </w:r>
      <w:r w:rsidRPr="00CC461A">
        <w:rPr>
          <w:rFonts w:ascii="Verdana" w:hAnsi="Verdana" w:cs="Tahoma"/>
          <w:sz w:val="20"/>
          <w:szCs w:val="20"/>
        </w:rPr>
        <w:tab/>
      </w:r>
      <w:r w:rsidRPr="00CC461A">
        <w:rPr>
          <w:rFonts w:ascii="Verdana" w:hAnsi="Verdana" w:cs="Tahoma"/>
          <w:sz w:val="20"/>
          <w:szCs w:val="20"/>
        </w:rPr>
        <w:tab/>
      </w:r>
      <w:r w:rsidRPr="00CC461A">
        <w:rPr>
          <w:rFonts w:ascii="Verdana" w:hAnsi="Verdana" w:cs="Tahoma"/>
          <w:sz w:val="20"/>
          <w:szCs w:val="20"/>
        </w:rPr>
        <w:tab/>
      </w:r>
      <w:r w:rsidRPr="00CC461A">
        <w:rPr>
          <w:rFonts w:ascii="Verdana" w:hAnsi="Verdana" w:cs="Tahoma"/>
          <w:sz w:val="20"/>
          <w:szCs w:val="20"/>
        </w:rPr>
        <w:tab/>
        <w:t xml:space="preserve">   </w:t>
      </w:r>
    </w:p>
    <w:p w:rsidR="00D14E30" w:rsidRPr="00CC461A" w:rsidRDefault="00D14E30" w:rsidP="00D14E30">
      <w:pPr>
        <w:pStyle w:val="NormalWeb"/>
        <w:jc w:val="right"/>
        <w:rPr>
          <w:rFonts w:ascii="Verdana" w:hAnsi="Verdana" w:cs="Tahoma"/>
          <w:sz w:val="20"/>
          <w:szCs w:val="20"/>
        </w:rPr>
      </w:pPr>
      <w:r w:rsidRPr="00CC461A">
        <w:rPr>
          <w:rFonts w:ascii="Verdana" w:hAnsi="Verdana" w:cs="Tahoma"/>
          <w:sz w:val="20"/>
          <w:szCs w:val="20"/>
        </w:rPr>
        <w:t xml:space="preserve">Αθήνα, </w:t>
      </w:r>
      <w:r w:rsidR="00861769" w:rsidRPr="00CC461A">
        <w:rPr>
          <w:rFonts w:ascii="Verdana" w:hAnsi="Verdana" w:cs="Tahoma"/>
          <w:sz w:val="20"/>
          <w:szCs w:val="20"/>
        </w:rPr>
        <w:t>1</w:t>
      </w:r>
      <w:r w:rsidR="00200465" w:rsidRPr="00CC461A">
        <w:rPr>
          <w:rFonts w:ascii="Verdana" w:hAnsi="Verdana" w:cs="Tahoma"/>
          <w:sz w:val="20"/>
          <w:szCs w:val="20"/>
        </w:rPr>
        <w:t>1</w:t>
      </w:r>
      <w:r w:rsidRPr="00CC461A">
        <w:rPr>
          <w:rFonts w:ascii="Verdana" w:hAnsi="Verdana" w:cs="Tahoma"/>
          <w:sz w:val="20"/>
          <w:szCs w:val="20"/>
        </w:rPr>
        <w:t xml:space="preserve"> </w:t>
      </w:r>
      <w:r w:rsidR="007603A4" w:rsidRPr="00CC461A">
        <w:rPr>
          <w:rFonts w:ascii="Verdana" w:hAnsi="Verdana" w:cs="Tahoma"/>
          <w:sz w:val="20"/>
          <w:szCs w:val="20"/>
        </w:rPr>
        <w:t>Φεβρουαρίου</w:t>
      </w:r>
      <w:r w:rsidR="00E03EBA" w:rsidRPr="00CC461A">
        <w:rPr>
          <w:rFonts w:ascii="Verdana" w:hAnsi="Verdana" w:cs="Tahoma"/>
          <w:sz w:val="20"/>
          <w:szCs w:val="20"/>
        </w:rPr>
        <w:t xml:space="preserve"> </w:t>
      </w:r>
      <w:r w:rsidR="00A61963" w:rsidRPr="00CC461A">
        <w:rPr>
          <w:rFonts w:ascii="Verdana" w:hAnsi="Verdana" w:cs="Tahoma"/>
          <w:sz w:val="20"/>
          <w:szCs w:val="20"/>
        </w:rPr>
        <w:t>201</w:t>
      </w:r>
      <w:r w:rsidR="00311F4C" w:rsidRPr="00CC461A">
        <w:rPr>
          <w:rFonts w:ascii="Verdana" w:hAnsi="Verdana" w:cs="Tahoma"/>
          <w:sz w:val="20"/>
          <w:szCs w:val="20"/>
        </w:rPr>
        <w:t>4</w:t>
      </w:r>
    </w:p>
    <w:p w:rsidR="0024167B" w:rsidRPr="00CC461A" w:rsidRDefault="0024167B" w:rsidP="00D14E30">
      <w:pPr>
        <w:pStyle w:val="NormalWeb"/>
        <w:jc w:val="right"/>
        <w:rPr>
          <w:rFonts w:ascii="Verdana" w:hAnsi="Verdana" w:cs="Tahoma"/>
          <w:sz w:val="20"/>
          <w:szCs w:val="20"/>
        </w:rPr>
      </w:pPr>
    </w:p>
    <w:p w:rsidR="0024167B" w:rsidRPr="00CC461A" w:rsidRDefault="001804B0" w:rsidP="00766801">
      <w:pPr>
        <w:pStyle w:val="NormalWeb"/>
        <w:jc w:val="center"/>
        <w:rPr>
          <w:rFonts w:ascii="Verdana" w:hAnsi="Verdana" w:cs="Tahoma"/>
          <w:b/>
          <w:bCs/>
          <w:color w:val="00008B"/>
          <w:sz w:val="22"/>
          <w:szCs w:val="22"/>
          <w:u w:val="single"/>
        </w:rPr>
      </w:pPr>
      <w:r w:rsidRPr="00CC461A">
        <w:rPr>
          <w:rFonts w:ascii="Verdana" w:hAnsi="Verdana" w:cs="Tahoma"/>
          <w:b/>
          <w:bCs/>
          <w:color w:val="00008B"/>
          <w:sz w:val="22"/>
          <w:szCs w:val="22"/>
          <w:u w:val="single"/>
        </w:rPr>
        <w:t>Δε</w:t>
      </w:r>
      <w:r w:rsidR="0020354B" w:rsidRPr="00CC461A">
        <w:rPr>
          <w:rFonts w:ascii="Verdana" w:hAnsi="Verdana" w:cs="Tahoma"/>
          <w:b/>
          <w:bCs/>
          <w:color w:val="00008B"/>
          <w:sz w:val="22"/>
          <w:szCs w:val="22"/>
          <w:u w:val="single"/>
        </w:rPr>
        <w:t xml:space="preserve">λτίο Τύπου </w:t>
      </w:r>
    </w:p>
    <w:p w:rsidR="00FD1CD6" w:rsidRPr="00CC461A" w:rsidRDefault="00FD1CD6" w:rsidP="00766801">
      <w:pPr>
        <w:pStyle w:val="NormalWeb"/>
        <w:jc w:val="center"/>
        <w:rPr>
          <w:rFonts w:ascii="Verdana" w:hAnsi="Verdana" w:cs="Tahoma"/>
          <w:b/>
          <w:bCs/>
          <w:color w:val="00008B"/>
          <w:sz w:val="20"/>
          <w:szCs w:val="20"/>
          <w:u w:val="single"/>
        </w:rPr>
      </w:pPr>
    </w:p>
    <w:p w:rsidR="007B2F43" w:rsidRPr="00037D50" w:rsidRDefault="007B2F43" w:rsidP="007B2F43">
      <w:pPr>
        <w:pStyle w:val="NormalWeb"/>
        <w:spacing w:line="360" w:lineRule="auto"/>
        <w:jc w:val="both"/>
        <w:rPr>
          <w:rFonts w:ascii="Verdana" w:hAnsi="Verdana"/>
          <w:sz w:val="20"/>
          <w:szCs w:val="20"/>
        </w:rPr>
      </w:pPr>
      <w:r w:rsidRPr="00776E44">
        <w:rPr>
          <w:rFonts w:ascii="Verdana" w:hAnsi="Verdana"/>
          <w:sz w:val="20"/>
          <w:szCs w:val="20"/>
        </w:rPr>
        <w:t>Η Ελληνικά Χρηματιστήρια – Χρηματιστήριο Αθηνών,</w:t>
      </w:r>
      <w:r w:rsidRPr="00037D50">
        <w:rPr>
          <w:rFonts w:ascii="Verdana" w:hAnsi="Verdana"/>
          <w:sz w:val="20"/>
          <w:szCs w:val="20"/>
        </w:rPr>
        <w:t xml:space="preserve"> ενέκρινε </w:t>
      </w:r>
      <w:r w:rsidR="004A29AE">
        <w:rPr>
          <w:rFonts w:ascii="Verdana" w:hAnsi="Verdana"/>
          <w:sz w:val="20"/>
          <w:szCs w:val="20"/>
        </w:rPr>
        <w:t xml:space="preserve">σήμερα </w:t>
      </w:r>
      <w:r w:rsidRPr="00037D50">
        <w:rPr>
          <w:rFonts w:ascii="Verdana" w:hAnsi="Verdana"/>
          <w:sz w:val="20"/>
          <w:szCs w:val="20"/>
        </w:rPr>
        <w:t xml:space="preserve">την εισαγωγή προς διαπραγμάτευση των </w:t>
      </w:r>
      <w:r>
        <w:rPr>
          <w:rFonts w:ascii="Verdana" w:hAnsi="Verdana"/>
          <w:sz w:val="20"/>
          <w:szCs w:val="20"/>
        </w:rPr>
        <w:t xml:space="preserve">219.611.308 </w:t>
      </w:r>
      <w:r w:rsidRPr="00037D50">
        <w:rPr>
          <w:rFonts w:ascii="Verdana" w:hAnsi="Verdana"/>
          <w:sz w:val="20"/>
          <w:szCs w:val="20"/>
        </w:rPr>
        <w:t xml:space="preserve">κοινών </w:t>
      </w:r>
      <w:r>
        <w:rPr>
          <w:rFonts w:ascii="Verdana" w:hAnsi="Verdana"/>
          <w:sz w:val="20"/>
          <w:szCs w:val="20"/>
        </w:rPr>
        <w:t>ανωνύμων</w:t>
      </w:r>
      <w:r w:rsidRPr="00037D50">
        <w:rPr>
          <w:rFonts w:ascii="Verdana" w:hAnsi="Verdana"/>
          <w:sz w:val="20"/>
          <w:szCs w:val="20"/>
        </w:rPr>
        <w:t xml:space="preserve"> μετοχών της εταιρίας </w:t>
      </w:r>
      <w:r w:rsidRPr="00781050">
        <w:rPr>
          <w:rFonts w:ascii="Verdana" w:hAnsi="Verdana"/>
          <w:b/>
          <w:sz w:val="20"/>
          <w:szCs w:val="20"/>
          <w:lang w:val="en-US"/>
        </w:rPr>
        <w:t>VIOHALCO</w:t>
      </w:r>
      <w:r w:rsidRPr="00781050">
        <w:rPr>
          <w:rFonts w:ascii="Verdana" w:hAnsi="Verdana"/>
          <w:b/>
          <w:sz w:val="20"/>
          <w:szCs w:val="20"/>
        </w:rPr>
        <w:t xml:space="preserve"> </w:t>
      </w:r>
      <w:r w:rsidRPr="00781050">
        <w:rPr>
          <w:rFonts w:ascii="Verdana" w:hAnsi="Verdana"/>
          <w:b/>
          <w:sz w:val="20"/>
          <w:szCs w:val="20"/>
          <w:lang w:val="en-US"/>
        </w:rPr>
        <w:t>SA</w:t>
      </w:r>
      <w:r w:rsidRPr="00781050">
        <w:rPr>
          <w:rFonts w:ascii="Verdana" w:hAnsi="Verdana"/>
          <w:b/>
          <w:sz w:val="20"/>
          <w:szCs w:val="20"/>
        </w:rPr>
        <w:t>/</w:t>
      </w:r>
      <w:r w:rsidRPr="00781050">
        <w:rPr>
          <w:rFonts w:ascii="Verdana" w:hAnsi="Verdana"/>
          <w:b/>
          <w:sz w:val="20"/>
          <w:szCs w:val="20"/>
          <w:lang w:val="en-US"/>
        </w:rPr>
        <w:t>NV</w:t>
      </w:r>
      <w:r w:rsidRPr="00037D50">
        <w:rPr>
          <w:rFonts w:ascii="Verdana" w:hAnsi="Verdana"/>
          <w:sz w:val="20"/>
          <w:szCs w:val="20"/>
        </w:rPr>
        <w:t xml:space="preserve">. Οι μετοχές της εταιρίας θα διαπραγματεύονται στην </w:t>
      </w:r>
      <w:r w:rsidRPr="00037D50">
        <w:rPr>
          <w:rFonts w:ascii="Verdana" w:hAnsi="Verdana"/>
          <w:b/>
          <w:sz w:val="20"/>
          <w:szCs w:val="20"/>
        </w:rPr>
        <w:t>Κύρια Αγορά</w:t>
      </w:r>
      <w:r>
        <w:rPr>
          <w:rFonts w:ascii="Verdana" w:hAnsi="Verdana"/>
          <w:sz w:val="20"/>
          <w:szCs w:val="20"/>
        </w:rPr>
        <w:t xml:space="preserve"> του Χρηματιστηρίου </w:t>
      </w:r>
      <w:r w:rsidRPr="00037D50">
        <w:rPr>
          <w:rFonts w:ascii="Verdana" w:hAnsi="Verdana"/>
          <w:sz w:val="20"/>
          <w:szCs w:val="20"/>
        </w:rPr>
        <w:t>Α</w:t>
      </w:r>
      <w:r>
        <w:rPr>
          <w:rFonts w:ascii="Verdana" w:hAnsi="Verdana"/>
          <w:sz w:val="20"/>
          <w:szCs w:val="20"/>
        </w:rPr>
        <w:t>θηνών</w:t>
      </w:r>
      <w:r w:rsidRPr="00037D50">
        <w:rPr>
          <w:rFonts w:ascii="Verdana" w:hAnsi="Verdana"/>
          <w:sz w:val="20"/>
          <w:szCs w:val="20"/>
        </w:rPr>
        <w:t xml:space="preserve"> και ως πρώτη ημέρα διαπραγμάτευσης </w:t>
      </w:r>
      <w:r>
        <w:rPr>
          <w:rFonts w:ascii="Verdana" w:hAnsi="Verdana"/>
          <w:sz w:val="20"/>
          <w:szCs w:val="20"/>
        </w:rPr>
        <w:t xml:space="preserve">τους </w:t>
      </w:r>
      <w:r w:rsidRPr="00037D50">
        <w:rPr>
          <w:rFonts w:ascii="Verdana" w:hAnsi="Verdana"/>
          <w:sz w:val="20"/>
          <w:szCs w:val="20"/>
        </w:rPr>
        <w:t xml:space="preserve">ορίστηκε η </w:t>
      </w:r>
      <w:r w:rsidRPr="00781050">
        <w:rPr>
          <w:rFonts w:ascii="Verdana" w:hAnsi="Verdana"/>
          <w:b/>
          <w:sz w:val="20"/>
          <w:szCs w:val="20"/>
        </w:rPr>
        <w:t>14</w:t>
      </w:r>
      <w:r w:rsidRPr="00781050">
        <w:rPr>
          <w:rFonts w:ascii="Verdana" w:hAnsi="Verdana"/>
          <w:b/>
          <w:sz w:val="20"/>
          <w:szCs w:val="20"/>
          <w:vertAlign w:val="superscript"/>
        </w:rPr>
        <w:t>η</w:t>
      </w:r>
      <w:r w:rsidRPr="00781050">
        <w:rPr>
          <w:rFonts w:ascii="Verdana" w:hAnsi="Verdana"/>
          <w:b/>
          <w:sz w:val="20"/>
          <w:szCs w:val="20"/>
        </w:rPr>
        <w:t xml:space="preserve"> Φεβρουαρίου 2014</w:t>
      </w:r>
      <w:r w:rsidRPr="00037D50">
        <w:rPr>
          <w:rFonts w:ascii="Verdana" w:hAnsi="Verdana"/>
          <w:sz w:val="20"/>
          <w:szCs w:val="20"/>
        </w:rPr>
        <w:t xml:space="preserve">. </w:t>
      </w:r>
    </w:p>
    <w:p w:rsidR="00861769" w:rsidRPr="00CC461A" w:rsidRDefault="004A29AE" w:rsidP="00CC461A">
      <w:pPr>
        <w:spacing w:before="100" w:beforeAutospacing="1" w:after="100" w:afterAutospacing="1" w:line="360" w:lineRule="auto"/>
        <w:jc w:val="both"/>
        <w:rPr>
          <w:rFonts w:ascii="Verdana" w:hAnsi="Verdana" w:cs="Tahoma"/>
          <w:snapToGrid w:val="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Επίσης η ΕΧΑΕ </w:t>
      </w:r>
      <w:r w:rsidR="009C731D" w:rsidRPr="00CC461A">
        <w:rPr>
          <w:rFonts w:ascii="Verdana" w:hAnsi="Verdana"/>
          <w:sz w:val="20"/>
          <w:szCs w:val="20"/>
        </w:rPr>
        <w:t>ενημερώθηκε για</w:t>
      </w:r>
      <w:r w:rsidR="00CC461A" w:rsidRPr="00CC461A">
        <w:rPr>
          <w:rFonts w:ascii="Verdana" w:hAnsi="Verdana"/>
          <w:sz w:val="20"/>
          <w:szCs w:val="20"/>
        </w:rPr>
        <w:t xml:space="preserve"> </w:t>
      </w:r>
      <w:r w:rsidR="00861769" w:rsidRPr="00CC461A">
        <w:rPr>
          <w:rFonts w:ascii="Verdana" w:hAnsi="Verdana" w:cs="Tahoma"/>
          <w:snapToGrid w:val="0"/>
          <w:sz w:val="20"/>
          <w:szCs w:val="20"/>
        </w:rPr>
        <w:t xml:space="preserve">την ισόποση αύξηση και μείωση της ονομαστικής αξίας της μετοχής της εταιρίας </w:t>
      </w:r>
      <w:r w:rsidR="00861769" w:rsidRPr="00CC461A">
        <w:rPr>
          <w:rFonts w:ascii="Verdana" w:hAnsi="Verdana" w:cs="Tahoma"/>
          <w:b/>
          <w:snapToGrid w:val="0"/>
          <w:sz w:val="20"/>
          <w:szCs w:val="20"/>
        </w:rPr>
        <w:t>«ΒΟΓΙΑΤΖΟΓΛΟΥ SYSTEMS Α.Ε.»</w:t>
      </w:r>
      <w:r w:rsidR="00861769" w:rsidRPr="00CC461A">
        <w:rPr>
          <w:rFonts w:ascii="Verdana" w:hAnsi="Verdana" w:cs="Tahoma"/>
          <w:snapToGrid w:val="0"/>
          <w:sz w:val="20"/>
          <w:szCs w:val="20"/>
        </w:rPr>
        <w:t xml:space="preserve"> και την αναλογική επιστροφή ποσού </w:t>
      </w:r>
      <w:r w:rsidR="00861769" w:rsidRPr="00CC461A">
        <w:rPr>
          <w:rFonts w:ascii="Verdana" w:hAnsi="Verdana" w:cs="Tahoma"/>
          <w:b/>
          <w:snapToGrid w:val="0"/>
          <w:sz w:val="20"/>
          <w:szCs w:val="20"/>
        </w:rPr>
        <w:t>€ 0,</w:t>
      </w:r>
      <w:r w:rsidR="00434D9D" w:rsidRPr="00CC461A">
        <w:rPr>
          <w:rFonts w:ascii="Verdana" w:hAnsi="Verdana" w:cs="Tahoma"/>
          <w:b/>
          <w:snapToGrid w:val="0"/>
          <w:sz w:val="20"/>
          <w:szCs w:val="20"/>
        </w:rPr>
        <w:t>92</w:t>
      </w:r>
      <w:r w:rsidR="00861769" w:rsidRPr="00CC461A">
        <w:rPr>
          <w:rFonts w:ascii="Verdana" w:hAnsi="Verdana" w:cs="Tahoma"/>
          <w:snapToGrid w:val="0"/>
          <w:sz w:val="20"/>
          <w:szCs w:val="20"/>
        </w:rPr>
        <w:t xml:space="preserve"> ανά μετοχή στους μετόχους της με καταβολή μετρητών. Ως ημερομηνία έναρξης διαπραγμάτευσης των υφισταμένων μετοχών με τελική ονομαστική αξία μετοχής </w:t>
      </w:r>
      <w:r w:rsidR="00861769" w:rsidRPr="00CC461A">
        <w:rPr>
          <w:rFonts w:ascii="Verdana" w:hAnsi="Verdana" w:cs="Tahoma"/>
          <w:b/>
          <w:snapToGrid w:val="0"/>
          <w:sz w:val="20"/>
          <w:szCs w:val="20"/>
        </w:rPr>
        <w:t>€ 0,60</w:t>
      </w:r>
      <w:r w:rsidR="00861769" w:rsidRPr="00CC461A">
        <w:rPr>
          <w:rFonts w:ascii="Verdana" w:hAnsi="Verdana" w:cs="Tahoma"/>
          <w:snapToGrid w:val="0"/>
          <w:sz w:val="20"/>
          <w:szCs w:val="20"/>
        </w:rPr>
        <w:t xml:space="preserve"> και ως ημερομηνία αποκοπής του δικαιώματος επιστροφής κεφαλαίου ορίστηκε η </w:t>
      </w:r>
      <w:r w:rsidR="00434D9D" w:rsidRPr="00CC461A">
        <w:rPr>
          <w:rFonts w:ascii="Verdana" w:hAnsi="Verdana" w:cs="Tahoma"/>
          <w:b/>
          <w:snapToGrid w:val="0"/>
          <w:sz w:val="20"/>
          <w:szCs w:val="20"/>
        </w:rPr>
        <w:t>1</w:t>
      </w:r>
      <w:r w:rsidR="00200465" w:rsidRPr="00CC461A">
        <w:rPr>
          <w:rFonts w:ascii="Verdana" w:hAnsi="Verdana" w:cs="Tahoma"/>
          <w:b/>
          <w:snapToGrid w:val="0"/>
          <w:sz w:val="20"/>
          <w:szCs w:val="20"/>
        </w:rPr>
        <w:t>7</w:t>
      </w:r>
      <w:r w:rsidR="00861769" w:rsidRPr="00CC461A">
        <w:rPr>
          <w:rFonts w:ascii="Verdana" w:hAnsi="Verdana" w:cs="Tahoma"/>
          <w:b/>
          <w:snapToGrid w:val="0"/>
          <w:sz w:val="20"/>
          <w:szCs w:val="20"/>
          <w:vertAlign w:val="superscript"/>
        </w:rPr>
        <w:t>η</w:t>
      </w:r>
      <w:r w:rsidR="00861769" w:rsidRPr="00CC461A">
        <w:rPr>
          <w:rFonts w:ascii="Verdana" w:hAnsi="Verdana" w:cs="Tahoma"/>
          <w:b/>
          <w:snapToGrid w:val="0"/>
          <w:sz w:val="20"/>
          <w:szCs w:val="20"/>
        </w:rPr>
        <w:t xml:space="preserve"> </w:t>
      </w:r>
      <w:r w:rsidR="00434D9D" w:rsidRPr="00CC461A">
        <w:rPr>
          <w:rFonts w:ascii="Verdana" w:hAnsi="Verdana" w:cs="Tahoma"/>
          <w:b/>
          <w:snapToGrid w:val="0"/>
          <w:sz w:val="20"/>
          <w:szCs w:val="20"/>
        </w:rPr>
        <w:t xml:space="preserve">Φεβρουαρίου </w:t>
      </w:r>
      <w:r w:rsidR="00861769" w:rsidRPr="00CC461A">
        <w:rPr>
          <w:rFonts w:ascii="Verdana" w:hAnsi="Verdana" w:cs="Tahoma"/>
          <w:b/>
          <w:snapToGrid w:val="0"/>
          <w:sz w:val="20"/>
          <w:szCs w:val="20"/>
        </w:rPr>
        <w:t>201</w:t>
      </w:r>
      <w:r w:rsidR="00434D9D" w:rsidRPr="00CC461A">
        <w:rPr>
          <w:rFonts w:ascii="Verdana" w:hAnsi="Verdana" w:cs="Tahoma"/>
          <w:b/>
          <w:snapToGrid w:val="0"/>
          <w:sz w:val="20"/>
          <w:szCs w:val="20"/>
        </w:rPr>
        <w:t>4</w:t>
      </w:r>
      <w:r w:rsidR="00861769" w:rsidRPr="00CC461A">
        <w:rPr>
          <w:rFonts w:ascii="Verdana" w:hAnsi="Verdana" w:cs="Tahoma"/>
          <w:snapToGrid w:val="0"/>
          <w:sz w:val="20"/>
          <w:szCs w:val="20"/>
        </w:rPr>
        <w:t xml:space="preserve">. Δικαιούχοι της επιστροφής κεφαλαίου είναι οι εγγεγραμμένοι στα αρχεία του Σ.Α.Τ. ως κάτοχοι των μετοχών κατά την </w:t>
      </w:r>
      <w:r w:rsidR="00434D9D" w:rsidRPr="00CC461A">
        <w:rPr>
          <w:rFonts w:ascii="Verdana" w:hAnsi="Verdana" w:cs="Tahoma"/>
          <w:b/>
          <w:snapToGrid w:val="0"/>
          <w:sz w:val="20"/>
          <w:szCs w:val="20"/>
        </w:rPr>
        <w:t>1</w:t>
      </w:r>
      <w:r w:rsidR="00200465" w:rsidRPr="00CC461A">
        <w:rPr>
          <w:rFonts w:ascii="Verdana" w:hAnsi="Verdana" w:cs="Tahoma"/>
          <w:b/>
          <w:snapToGrid w:val="0"/>
          <w:sz w:val="20"/>
          <w:szCs w:val="20"/>
        </w:rPr>
        <w:t>9</w:t>
      </w:r>
      <w:r w:rsidR="00434D9D" w:rsidRPr="00CC461A">
        <w:rPr>
          <w:rFonts w:ascii="Verdana" w:hAnsi="Verdana" w:cs="Tahoma"/>
          <w:b/>
          <w:snapToGrid w:val="0"/>
          <w:sz w:val="20"/>
          <w:szCs w:val="20"/>
          <w:vertAlign w:val="superscript"/>
        </w:rPr>
        <w:t>η</w:t>
      </w:r>
      <w:r w:rsidR="00434D9D" w:rsidRPr="00CC461A">
        <w:rPr>
          <w:rFonts w:ascii="Verdana" w:hAnsi="Verdana" w:cs="Tahoma"/>
          <w:b/>
          <w:snapToGrid w:val="0"/>
          <w:sz w:val="20"/>
          <w:szCs w:val="20"/>
        </w:rPr>
        <w:t xml:space="preserve"> Φεβρουαρίου 2014</w:t>
      </w:r>
      <w:r w:rsidR="00861769" w:rsidRPr="00CC461A">
        <w:rPr>
          <w:rFonts w:ascii="Verdana" w:hAnsi="Verdana" w:cs="Tahoma"/>
          <w:snapToGrid w:val="0"/>
          <w:sz w:val="20"/>
          <w:szCs w:val="20"/>
        </w:rPr>
        <w:t>.</w:t>
      </w:r>
      <w:bookmarkStart w:id="0" w:name="_GoBack"/>
      <w:bookmarkEnd w:id="0"/>
    </w:p>
    <w:p w:rsidR="00CC461A" w:rsidRPr="00CC461A" w:rsidRDefault="004A29AE" w:rsidP="00CC461A">
      <w:pPr>
        <w:pStyle w:val="NormalWeb"/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Τέλος, </w:t>
      </w:r>
      <w:r w:rsidR="00CC461A" w:rsidRPr="00CC461A">
        <w:rPr>
          <w:rFonts w:ascii="Verdana" w:hAnsi="Verdana" w:cs="Arial"/>
          <w:sz w:val="20"/>
          <w:szCs w:val="20"/>
        </w:rPr>
        <w:t>ενέκρινε:</w:t>
      </w:r>
    </w:p>
    <w:p w:rsidR="00CC461A" w:rsidRPr="00CC461A" w:rsidRDefault="00CC461A" w:rsidP="00CC461A">
      <w:pPr>
        <w:numPr>
          <w:ilvl w:val="0"/>
          <w:numId w:val="27"/>
        </w:numPr>
        <w:spacing w:line="360" w:lineRule="auto"/>
        <w:jc w:val="both"/>
        <w:rPr>
          <w:rFonts w:ascii="Verdana" w:hAnsi="Verdana"/>
          <w:snapToGrid w:val="0"/>
          <w:sz w:val="20"/>
          <w:szCs w:val="20"/>
        </w:rPr>
      </w:pPr>
      <w:r w:rsidRPr="00CC461A">
        <w:rPr>
          <w:rFonts w:ascii="Verdana" w:hAnsi="Verdana"/>
          <w:snapToGrid w:val="0"/>
          <w:sz w:val="20"/>
          <w:szCs w:val="20"/>
        </w:rPr>
        <w:t xml:space="preserve">την απόκτηση της ιδιότητας του Ειδικού Διαπραγματευτή επί των μετοχών της εταιρίας </w:t>
      </w:r>
      <w:r w:rsidRPr="00CC461A">
        <w:rPr>
          <w:rFonts w:ascii="Verdana" w:hAnsi="Verdana"/>
          <w:b/>
          <w:snapToGrid w:val="0"/>
          <w:sz w:val="20"/>
          <w:szCs w:val="20"/>
        </w:rPr>
        <w:t>«</w:t>
      </w:r>
      <w:r w:rsidRPr="00CC461A">
        <w:rPr>
          <w:rFonts w:ascii="Verdana" w:hAnsi="Verdana"/>
          <w:b/>
          <w:snapToGrid w:val="0"/>
          <w:sz w:val="20"/>
          <w:szCs w:val="20"/>
          <w:lang w:val="en-US"/>
        </w:rPr>
        <w:t>VIOHALCO</w:t>
      </w:r>
      <w:r w:rsidRPr="00CC461A">
        <w:rPr>
          <w:rFonts w:ascii="Verdana" w:hAnsi="Verdana"/>
          <w:b/>
          <w:snapToGrid w:val="0"/>
          <w:sz w:val="20"/>
          <w:szCs w:val="20"/>
        </w:rPr>
        <w:t xml:space="preserve"> </w:t>
      </w:r>
      <w:r w:rsidRPr="00CC461A">
        <w:rPr>
          <w:rFonts w:ascii="Verdana" w:hAnsi="Verdana"/>
          <w:b/>
          <w:snapToGrid w:val="0"/>
          <w:sz w:val="20"/>
          <w:szCs w:val="20"/>
          <w:lang w:val="en-US"/>
        </w:rPr>
        <w:t>S</w:t>
      </w:r>
      <w:r w:rsidRPr="00CC461A">
        <w:rPr>
          <w:rFonts w:ascii="Verdana" w:hAnsi="Verdana"/>
          <w:b/>
          <w:snapToGrid w:val="0"/>
          <w:sz w:val="20"/>
          <w:szCs w:val="20"/>
        </w:rPr>
        <w:t>.</w:t>
      </w:r>
      <w:r w:rsidRPr="00CC461A">
        <w:rPr>
          <w:rFonts w:ascii="Verdana" w:hAnsi="Verdana"/>
          <w:b/>
          <w:snapToGrid w:val="0"/>
          <w:sz w:val="20"/>
          <w:szCs w:val="20"/>
          <w:lang w:val="en-US"/>
        </w:rPr>
        <w:t>A</w:t>
      </w:r>
      <w:r w:rsidRPr="00CC461A">
        <w:rPr>
          <w:rFonts w:ascii="Verdana" w:hAnsi="Verdana"/>
          <w:b/>
          <w:snapToGrid w:val="0"/>
          <w:sz w:val="20"/>
          <w:szCs w:val="20"/>
        </w:rPr>
        <w:t>.»</w:t>
      </w:r>
      <w:r w:rsidRPr="00CC461A">
        <w:rPr>
          <w:rFonts w:ascii="Verdana" w:hAnsi="Verdana"/>
          <w:snapToGrid w:val="0"/>
          <w:sz w:val="20"/>
          <w:szCs w:val="20"/>
        </w:rPr>
        <w:t xml:space="preserve"> από την εταιρία – Μέλος </w:t>
      </w:r>
      <w:r w:rsidR="00142881">
        <w:rPr>
          <w:rFonts w:ascii="Verdana" w:hAnsi="Verdana"/>
          <w:snapToGrid w:val="0"/>
          <w:sz w:val="20"/>
          <w:szCs w:val="20"/>
        </w:rPr>
        <w:t>της ΕΧΑΕ</w:t>
      </w:r>
      <w:r w:rsidRPr="00CC461A">
        <w:rPr>
          <w:rFonts w:ascii="Verdana" w:hAnsi="Verdana"/>
          <w:snapToGrid w:val="0"/>
          <w:sz w:val="20"/>
          <w:szCs w:val="20"/>
        </w:rPr>
        <w:t xml:space="preserve"> </w:t>
      </w:r>
      <w:r w:rsidRPr="00CC461A">
        <w:rPr>
          <w:rFonts w:ascii="Verdana" w:hAnsi="Verdana"/>
          <w:b/>
          <w:snapToGrid w:val="0"/>
          <w:sz w:val="20"/>
          <w:szCs w:val="20"/>
        </w:rPr>
        <w:t>«ALPHA FINANCE ΑΕΠΕΥ»</w:t>
      </w:r>
      <w:r w:rsidRPr="00CC461A">
        <w:rPr>
          <w:rFonts w:ascii="Verdana" w:hAnsi="Verdana"/>
          <w:snapToGrid w:val="0"/>
          <w:sz w:val="20"/>
          <w:szCs w:val="20"/>
        </w:rPr>
        <w:t xml:space="preserve"> και καθόρισε ως ημερομηνία έναρξης της ειδικής διαπραγμάτευσης επί της εν λόγω κινητής αξίας την ημέρα έναρξης διαπραγμάτευσης της «VIOHALCO S.A.» στο Χρηματιστήριο Αθηνών.</w:t>
      </w:r>
    </w:p>
    <w:p w:rsidR="00CC461A" w:rsidRPr="00CC461A" w:rsidRDefault="00CC461A" w:rsidP="00CC461A">
      <w:pPr>
        <w:pStyle w:val="ListParagraph"/>
        <w:rPr>
          <w:rFonts w:ascii="Verdana" w:hAnsi="Verdana"/>
          <w:snapToGrid w:val="0"/>
          <w:sz w:val="20"/>
          <w:szCs w:val="20"/>
        </w:rPr>
      </w:pPr>
    </w:p>
    <w:p w:rsidR="00CC461A" w:rsidRPr="00CC461A" w:rsidRDefault="00CC461A" w:rsidP="00CC461A">
      <w:pPr>
        <w:numPr>
          <w:ilvl w:val="0"/>
          <w:numId w:val="27"/>
        </w:numPr>
        <w:spacing w:line="360" w:lineRule="auto"/>
        <w:jc w:val="both"/>
        <w:rPr>
          <w:rFonts w:ascii="Verdana" w:hAnsi="Verdana"/>
          <w:snapToGrid w:val="0"/>
          <w:sz w:val="20"/>
          <w:szCs w:val="20"/>
        </w:rPr>
      </w:pPr>
      <w:r w:rsidRPr="00CC461A">
        <w:rPr>
          <w:rFonts w:ascii="Verdana" w:hAnsi="Verdana"/>
          <w:snapToGrid w:val="0"/>
          <w:sz w:val="20"/>
          <w:szCs w:val="20"/>
        </w:rPr>
        <w:t xml:space="preserve">την απόκτηση της ιδιότητας του Ειδικού Διαπραγματευτή επί των μετοχών των εταιριών </w:t>
      </w:r>
      <w:r w:rsidRPr="00CC461A">
        <w:rPr>
          <w:rFonts w:ascii="Verdana" w:hAnsi="Verdana"/>
          <w:b/>
          <w:snapToGrid w:val="0"/>
          <w:sz w:val="20"/>
          <w:szCs w:val="20"/>
        </w:rPr>
        <w:t xml:space="preserve">«ΜΟΤΟΡ ΟΪΛ (ΕΛΛΑΣ) ΔΙΥΛΙΣΤΗΡΙΑ ΚΟΡΙΝΘΟΥ ΑΕ», «ΤΙΤΑΝ ΑΝΩΝΥΜΗ ΕΤΑΙΡΙΑ ΤΣΙΜΕΝΤΩΝ» </w:t>
      </w:r>
      <w:r w:rsidRPr="00CC461A">
        <w:rPr>
          <w:rFonts w:ascii="Verdana" w:hAnsi="Verdana"/>
          <w:snapToGrid w:val="0"/>
          <w:sz w:val="20"/>
          <w:szCs w:val="20"/>
        </w:rPr>
        <w:t xml:space="preserve">και </w:t>
      </w:r>
      <w:r w:rsidRPr="00CC461A">
        <w:rPr>
          <w:rFonts w:ascii="Verdana" w:hAnsi="Verdana"/>
          <w:b/>
          <w:snapToGrid w:val="0"/>
          <w:sz w:val="20"/>
          <w:szCs w:val="20"/>
        </w:rPr>
        <w:t xml:space="preserve">«FOLLI-FOLLIE Α.Ε.Β.Τ.Ε.» </w:t>
      </w:r>
      <w:r w:rsidRPr="00CC461A">
        <w:rPr>
          <w:rFonts w:ascii="Verdana" w:hAnsi="Verdana"/>
          <w:snapToGrid w:val="0"/>
          <w:sz w:val="20"/>
          <w:szCs w:val="20"/>
        </w:rPr>
        <w:t xml:space="preserve">από την εταιρία – Μέλος </w:t>
      </w:r>
      <w:r w:rsidR="00142881">
        <w:rPr>
          <w:rFonts w:ascii="Verdana" w:hAnsi="Verdana"/>
          <w:snapToGrid w:val="0"/>
          <w:sz w:val="20"/>
          <w:szCs w:val="20"/>
        </w:rPr>
        <w:t>της ΕΧΑΕ</w:t>
      </w:r>
      <w:r w:rsidRPr="00CC461A">
        <w:rPr>
          <w:rFonts w:ascii="Verdana" w:hAnsi="Verdana"/>
          <w:snapToGrid w:val="0"/>
          <w:sz w:val="20"/>
          <w:szCs w:val="20"/>
        </w:rPr>
        <w:t xml:space="preserve"> </w:t>
      </w:r>
      <w:r w:rsidRPr="00CC461A">
        <w:rPr>
          <w:rFonts w:ascii="Verdana" w:hAnsi="Verdana"/>
          <w:b/>
          <w:snapToGrid w:val="0"/>
          <w:sz w:val="20"/>
          <w:szCs w:val="20"/>
        </w:rPr>
        <w:t>«NBG Securities Α.Ε.Π.Ε.Υ.»</w:t>
      </w:r>
      <w:r w:rsidRPr="00CC461A">
        <w:rPr>
          <w:rFonts w:ascii="Verdana" w:hAnsi="Verdana"/>
          <w:snapToGrid w:val="0"/>
          <w:sz w:val="20"/>
          <w:szCs w:val="20"/>
        </w:rPr>
        <w:t xml:space="preserve"> και καθόρισε ως ημερομηνία έναρξης της ειδικής διαπραγμάτευσης επί της εν λόγω κινητής αξίας </w:t>
      </w:r>
      <w:r w:rsidRPr="00CC461A">
        <w:rPr>
          <w:rFonts w:ascii="Verdana" w:hAnsi="Verdana"/>
          <w:b/>
          <w:snapToGrid w:val="0"/>
          <w:sz w:val="20"/>
          <w:szCs w:val="20"/>
        </w:rPr>
        <w:t>τη Δευτέρα 17 Φεβρουαρίου 2014</w:t>
      </w:r>
      <w:r w:rsidRPr="00CC461A">
        <w:rPr>
          <w:rFonts w:ascii="Verdana" w:hAnsi="Verdana"/>
          <w:snapToGrid w:val="0"/>
          <w:sz w:val="20"/>
          <w:szCs w:val="20"/>
        </w:rPr>
        <w:t>.</w:t>
      </w:r>
    </w:p>
    <w:p w:rsidR="00CC461A" w:rsidRPr="00CC461A" w:rsidRDefault="00CC461A" w:rsidP="00CC461A">
      <w:pPr>
        <w:pStyle w:val="ListParagraph"/>
        <w:rPr>
          <w:rFonts w:ascii="Verdana" w:hAnsi="Verdana"/>
          <w:snapToGrid w:val="0"/>
          <w:sz w:val="20"/>
          <w:szCs w:val="20"/>
        </w:rPr>
      </w:pPr>
    </w:p>
    <w:p w:rsidR="00CC461A" w:rsidRPr="00CC461A" w:rsidRDefault="00CC461A" w:rsidP="00CC461A">
      <w:pPr>
        <w:numPr>
          <w:ilvl w:val="0"/>
          <w:numId w:val="27"/>
        </w:numPr>
        <w:spacing w:line="360" w:lineRule="auto"/>
        <w:jc w:val="both"/>
        <w:rPr>
          <w:rFonts w:ascii="Verdana" w:hAnsi="Verdana"/>
          <w:snapToGrid w:val="0"/>
          <w:sz w:val="20"/>
          <w:szCs w:val="20"/>
        </w:rPr>
      </w:pPr>
      <w:r w:rsidRPr="00CC461A">
        <w:rPr>
          <w:rFonts w:ascii="Verdana" w:hAnsi="Verdana"/>
          <w:snapToGrid w:val="0"/>
          <w:sz w:val="20"/>
          <w:szCs w:val="20"/>
        </w:rPr>
        <w:t xml:space="preserve">την παραίτηση της εταιρείας - Μέλους της ΕΧΑΕ </w:t>
      </w:r>
      <w:r w:rsidRPr="00CC461A">
        <w:rPr>
          <w:rFonts w:ascii="Verdana" w:hAnsi="Verdana"/>
          <w:b/>
          <w:snapToGrid w:val="0"/>
          <w:sz w:val="20"/>
          <w:szCs w:val="20"/>
        </w:rPr>
        <w:t xml:space="preserve">«ΘΕΜ.ΣΩΤ.ΣΩΤΗΡΙΑΔΗΣ ΧΡΗΜ/ΚΗ Α.Ε.Π.Ε.Υ.» </w:t>
      </w:r>
      <w:r w:rsidRPr="00CC461A">
        <w:rPr>
          <w:rFonts w:ascii="Verdana" w:hAnsi="Verdana"/>
          <w:snapToGrid w:val="0"/>
          <w:sz w:val="20"/>
          <w:szCs w:val="20"/>
        </w:rPr>
        <w:t>από την ιδιότητα του Μέλους Διαπραγμάτευσης στην Αγορά Αξιών της ΕΧΑΕ.</w:t>
      </w:r>
    </w:p>
    <w:p w:rsidR="00CC461A" w:rsidRPr="00CC461A" w:rsidRDefault="00CC461A" w:rsidP="00CC461A">
      <w:pPr>
        <w:spacing w:line="360" w:lineRule="auto"/>
        <w:ind w:left="720"/>
        <w:jc w:val="both"/>
        <w:rPr>
          <w:rFonts w:ascii="Verdana" w:hAnsi="Verdana"/>
          <w:snapToGrid w:val="0"/>
          <w:sz w:val="20"/>
          <w:szCs w:val="20"/>
        </w:rPr>
      </w:pPr>
    </w:p>
    <w:p w:rsidR="00CC461A" w:rsidRPr="00CC461A" w:rsidRDefault="00CC461A" w:rsidP="00CC461A">
      <w:pPr>
        <w:numPr>
          <w:ilvl w:val="0"/>
          <w:numId w:val="26"/>
        </w:numPr>
        <w:spacing w:line="360" w:lineRule="auto"/>
        <w:jc w:val="both"/>
        <w:rPr>
          <w:rFonts w:ascii="Verdana" w:hAnsi="Verdana"/>
          <w:snapToGrid w:val="0"/>
          <w:sz w:val="20"/>
          <w:szCs w:val="20"/>
        </w:rPr>
      </w:pPr>
      <w:r w:rsidRPr="00CC461A">
        <w:rPr>
          <w:rFonts w:ascii="Verdana" w:hAnsi="Verdana"/>
          <w:snapToGrid w:val="0"/>
          <w:sz w:val="20"/>
          <w:szCs w:val="20"/>
        </w:rPr>
        <w:t xml:space="preserve">την παραίτηση της εταιρίας </w:t>
      </w:r>
      <w:r w:rsidRPr="00CC461A">
        <w:rPr>
          <w:rFonts w:ascii="Verdana" w:hAnsi="Verdana"/>
          <w:b/>
          <w:snapToGrid w:val="0"/>
          <w:sz w:val="20"/>
          <w:szCs w:val="20"/>
        </w:rPr>
        <w:t>«NEW TT HELLENIC POSTBANK S.A.»</w:t>
      </w:r>
      <w:r w:rsidRPr="00CC461A">
        <w:rPr>
          <w:rFonts w:ascii="Verdana" w:hAnsi="Verdana"/>
          <w:snapToGrid w:val="0"/>
          <w:sz w:val="20"/>
          <w:szCs w:val="20"/>
        </w:rPr>
        <w:t xml:space="preserve"> από την ιδιότητα του Μέλος Διαπραγμάτευσης για την Αγορά Αξιών και Παραγώγων.</w:t>
      </w:r>
    </w:p>
    <w:p w:rsidR="00CC461A" w:rsidRPr="00CC461A" w:rsidRDefault="00CC461A" w:rsidP="00CC461A">
      <w:pPr>
        <w:spacing w:line="360" w:lineRule="auto"/>
        <w:ind w:left="720"/>
        <w:jc w:val="both"/>
        <w:rPr>
          <w:rFonts w:ascii="Verdana" w:hAnsi="Verdana"/>
          <w:snapToGrid w:val="0"/>
          <w:sz w:val="20"/>
          <w:szCs w:val="20"/>
        </w:rPr>
      </w:pPr>
    </w:p>
    <w:p w:rsidR="00CC461A" w:rsidRPr="00CC461A" w:rsidRDefault="00CC461A" w:rsidP="00CC461A">
      <w:pPr>
        <w:numPr>
          <w:ilvl w:val="0"/>
          <w:numId w:val="26"/>
        </w:numPr>
        <w:spacing w:line="360" w:lineRule="auto"/>
        <w:jc w:val="both"/>
        <w:rPr>
          <w:rFonts w:ascii="Verdana" w:hAnsi="Verdana"/>
          <w:snapToGrid w:val="0"/>
          <w:sz w:val="20"/>
          <w:szCs w:val="20"/>
        </w:rPr>
      </w:pPr>
      <w:r w:rsidRPr="00CC461A">
        <w:rPr>
          <w:rFonts w:ascii="Verdana" w:hAnsi="Verdana"/>
          <w:snapToGrid w:val="0"/>
          <w:sz w:val="20"/>
          <w:szCs w:val="20"/>
        </w:rPr>
        <w:lastRenderedPageBreak/>
        <w:t xml:space="preserve">την παραίτηση της εταιρίας </w:t>
      </w:r>
      <w:r w:rsidRPr="00CC461A">
        <w:rPr>
          <w:rFonts w:ascii="Verdana" w:hAnsi="Verdana"/>
          <w:b/>
          <w:snapToGrid w:val="0"/>
          <w:sz w:val="20"/>
          <w:szCs w:val="20"/>
        </w:rPr>
        <w:t>«ΚΥΠΡΟΥ ΧΡΗΜΑΤΙΣΤΗΡΙΑΚΗ ΑΕΠΕΥ»</w:t>
      </w:r>
      <w:r w:rsidRPr="00CC461A">
        <w:rPr>
          <w:rFonts w:ascii="Verdana" w:hAnsi="Verdana"/>
          <w:snapToGrid w:val="0"/>
          <w:sz w:val="20"/>
          <w:szCs w:val="20"/>
        </w:rPr>
        <w:t xml:space="preserve"> από την ιδιότητα του Μέλος Διαπραγμάτευσης για την Αγορά Αξιών και Παραγώγων.</w:t>
      </w:r>
    </w:p>
    <w:p w:rsidR="00861769" w:rsidRPr="00CC461A" w:rsidRDefault="00861769" w:rsidP="00861769">
      <w:pPr>
        <w:spacing w:before="120" w:line="360" w:lineRule="auto"/>
        <w:jc w:val="both"/>
        <w:rPr>
          <w:rFonts w:ascii="Verdana" w:hAnsi="Verdana"/>
          <w:color w:val="000000"/>
          <w:sz w:val="20"/>
          <w:szCs w:val="20"/>
        </w:rPr>
      </w:pPr>
    </w:p>
    <w:sectPr w:rsidR="00861769" w:rsidRPr="00CC461A" w:rsidSect="009C731D">
      <w:type w:val="continuous"/>
      <w:pgSz w:w="11906" w:h="16838" w:code="9"/>
      <w:pgMar w:top="993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70A"/>
    <w:multiLevelType w:val="multilevel"/>
    <w:tmpl w:val="30B87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57196"/>
    <w:multiLevelType w:val="multilevel"/>
    <w:tmpl w:val="A8B83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0541E8"/>
    <w:multiLevelType w:val="multilevel"/>
    <w:tmpl w:val="A0E88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104F2D"/>
    <w:multiLevelType w:val="multilevel"/>
    <w:tmpl w:val="70EC9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8445D1"/>
    <w:multiLevelType w:val="multilevel"/>
    <w:tmpl w:val="4CB63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1A424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4B3029C"/>
    <w:multiLevelType w:val="hybridMultilevel"/>
    <w:tmpl w:val="DE40E3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F00E23"/>
    <w:multiLevelType w:val="hybridMultilevel"/>
    <w:tmpl w:val="75187506"/>
    <w:lvl w:ilvl="0" w:tplc="75443764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06C04"/>
    <w:multiLevelType w:val="multilevel"/>
    <w:tmpl w:val="6544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886097"/>
    <w:multiLevelType w:val="hybridMultilevel"/>
    <w:tmpl w:val="91A014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49186C"/>
    <w:multiLevelType w:val="hybridMultilevel"/>
    <w:tmpl w:val="34C84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F455BE"/>
    <w:multiLevelType w:val="multilevel"/>
    <w:tmpl w:val="2942352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46FB50F9"/>
    <w:multiLevelType w:val="hybridMultilevel"/>
    <w:tmpl w:val="6EC645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C35AA9"/>
    <w:multiLevelType w:val="multilevel"/>
    <w:tmpl w:val="77A0C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D65472"/>
    <w:multiLevelType w:val="multilevel"/>
    <w:tmpl w:val="B3AE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85235C"/>
    <w:multiLevelType w:val="hybridMultilevel"/>
    <w:tmpl w:val="789C6F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2C065B"/>
    <w:multiLevelType w:val="multilevel"/>
    <w:tmpl w:val="F8C6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CA06AC"/>
    <w:multiLevelType w:val="hybridMultilevel"/>
    <w:tmpl w:val="5FB86E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5E311F"/>
    <w:multiLevelType w:val="hybridMultilevel"/>
    <w:tmpl w:val="7F2AFB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8D2B55"/>
    <w:multiLevelType w:val="hybridMultilevel"/>
    <w:tmpl w:val="0AB64A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C34E2F"/>
    <w:multiLevelType w:val="hybridMultilevel"/>
    <w:tmpl w:val="34866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F47534"/>
    <w:multiLevelType w:val="multilevel"/>
    <w:tmpl w:val="57222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387ADE"/>
    <w:multiLevelType w:val="hybridMultilevel"/>
    <w:tmpl w:val="B7B40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906C91"/>
    <w:multiLevelType w:val="hybridMultilevel"/>
    <w:tmpl w:val="3050C142"/>
    <w:lvl w:ilvl="0" w:tplc="2654CB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hadow/>
        <w:emboss w:val="0"/>
        <w:imprint w:val="0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47D2886"/>
    <w:multiLevelType w:val="multilevel"/>
    <w:tmpl w:val="C81ED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8F2504"/>
    <w:multiLevelType w:val="multilevel"/>
    <w:tmpl w:val="7E4CD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221815"/>
    <w:multiLevelType w:val="hybridMultilevel"/>
    <w:tmpl w:val="15104F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4"/>
  </w:num>
  <w:num w:numId="4">
    <w:abstractNumId w:val="18"/>
  </w:num>
  <w:num w:numId="5">
    <w:abstractNumId w:val="24"/>
  </w:num>
  <w:num w:numId="6">
    <w:abstractNumId w:val="26"/>
  </w:num>
  <w:num w:numId="7">
    <w:abstractNumId w:val="21"/>
  </w:num>
  <w:num w:numId="8">
    <w:abstractNumId w:val="0"/>
  </w:num>
  <w:num w:numId="9">
    <w:abstractNumId w:val="2"/>
  </w:num>
  <w:num w:numId="10">
    <w:abstractNumId w:val="10"/>
  </w:num>
  <w:num w:numId="11">
    <w:abstractNumId w:val="8"/>
  </w:num>
  <w:num w:numId="12">
    <w:abstractNumId w:val="23"/>
  </w:num>
  <w:num w:numId="13">
    <w:abstractNumId w:val="14"/>
  </w:num>
  <w:num w:numId="14">
    <w:abstractNumId w:val="19"/>
  </w:num>
  <w:num w:numId="15">
    <w:abstractNumId w:val="11"/>
  </w:num>
  <w:num w:numId="16">
    <w:abstractNumId w:val="7"/>
  </w:num>
  <w:num w:numId="17">
    <w:abstractNumId w:val="1"/>
  </w:num>
  <w:num w:numId="18">
    <w:abstractNumId w:val="13"/>
  </w:num>
  <w:num w:numId="19">
    <w:abstractNumId w:val="25"/>
  </w:num>
  <w:num w:numId="20">
    <w:abstractNumId w:val="3"/>
  </w:num>
  <w:num w:numId="21">
    <w:abstractNumId w:val="15"/>
  </w:num>
  <w:num w:numId="22">
    <w:abstractNumId w:val="9"/>
  </w:num>
  <w:num w:numId="23">
    <w:abstractNumId w:val="5"/>
  </w:num>
  <w:num w:numId="24">
    <w:abstractNumId w:val="22"/>
  </w:num>
  <w:num w:numId="25">
    <w:abstractNumId w:val="20"/>
  </w:num>
  <w:num w:numId="26">
    <w:abstractNumId w:val="17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E30"/>
    <w:rsid w:val="0000493E"/>
    <w:rsid w:val="00004D16"/>
    <w:rsid w:val="000278B0"/>
    <w:rsid w:val="00027D8B"/>
    <w:rsid w:val="00044841"/>
    <w:rsid w:val="00063505"/>
    <w:rsid w:val="00065BC5"/>
    <w:rsid w:val="00066FE3"/>
    <w:rsid w:val="00072DB5"/>
    <w:rsid w:val="000D1718"/>
    <w:rsid w:val="000E7122"/>
    <w:rsid w:val="000F493D"/>
    <w:rsid w:val="00105B6F"/>
    <w:rsid w:val="00111D78"/>
    <w:rsid w:val="00142881"/>
    <w:rsid w:val="001523A7"/>
    <w:rsid w:val="00152E5F"/>
    <w:rsid w:val="001639AA"/>
    <w:rsid w:val="001804B0"/>
    <w:rsid w:val="0019270A"/>
    <w:rsid w:val="00197612"/>
    <w:rsid w:val="001A1F34"/>
    <w:rsid w:val="001A7081"/>
    <w:rsid w:val="001B589C"/>
    <w:rsid w:val="001D71F0"/>
    <w:rsid w:val="001E6CC1"/>
    <w:rsid w:val="001F69E1"/>
    <w:rsid w:val="00200465"/>
    <w:rsid w:val="0020354B"/>
    <w:rsid w:val="00204F42"/>
    <w:rsid w:val="002152CE"/>
    <w:rsid w:val="0024167B"/>
    <w:rsid w:val="002563AA"/>
    <w:rsid w:val="002636B3"/>
    <w:rsid w:val="00271BB6"/>
    <w:rsid w:val="0028061A"/>
    <w:rsid w:val="002B1DCD"/>
    <w:rsid w:val="002C60F4"/>
    <w:rsid w:val="002E10A9"/>
    <w:rsid w:val="002E3C92"/>
    <w:rsid w:val="002F74DE"/>
    <w:rsid w:val="00300413"/>
    <w:rsid w:val="00311F4C"/>
    <w:rsid w:val="00345C5A"/>
    <w:rsid w:val="00346632"/>
    <w:rsid w:val="00351CB4"/>
    <w:rsid w:val="003624C5"/>
    <w:rsid w:val="00366595"/>
    <w:rsid w:val="00370257"/>
    <w:rsid w:val="003832E9"/>
    <w:rsid w:val="0039103A"/>
    <w:rsid w:val="00393BB0"/>
    <w:rsid w:val="003A622C"/>
    <w:rsid w:val="003B31E9"/>
    <w:rsid w:val="003D00C8"/>
    <w:rsid w:val="003E0749"/>
    <w:rsid w:val="003E2949"/>
    <w:rsid w:val="0040051C"/>
    <w:rsid w:val="004171FB"/>
    <w:rsid w:val="00422C98"/>
    <w:rsid w:val="00434D9D"/>
    <w:rsid w:val="00451B85"/>
    <w:rsid w:val="0047313B"/>
    <w:rsid w:val="00475A6F"/>
    <w:rsid w:val="00477E1F"/>
    <w:rsid w:val="004959E3"/>
    <w:rsid w:val="004A29AE"/>
    <w:rsid w:val="004B0C77"/>
    <w:rsid w:val="004B2C63"/>
    <w:rsid w:val="004B5936"/>
    <w:rsid w:val="004D2D08"/>
    <w:rsid w:val="004D2E93"/>
    <w:rsid w:val="004D49BB"/>
    <w:rsid w:val="004E7DFE"/>
    <w:rsid w:val="00500B72"/>
    <w:rsid w:val="00536E1C"/>
    <w:rsid w:val="00595A91"/>
    <w:rsid w:val="005973D9"/>
    <w:rsid w:val="005F1447"/>
    <w:rsid w:val="005F487C"/>
    <w:rsid w:val="00605746"/>
    <w:rsid w:val="006223AC"/>
    <w:rsid w:val="006544E0"/>
    <w:rsid w:val="00663B16"/>
    <w:rsid w:val="00695C22"/>
    <w:rsid w:val="006A5320"/>
    <w:rsid w:val="006B28B4"/>
    <w:rsid w:val="006C376C"/>
    <w:rsid w:val="006C5342"/>
    <w:rsid w:val="006E6D33"/>
    <w:rsid w:val="006F5F2E"/>
    <w:rsid w:val="007160BB"/>
    <w:rsid w:val="00720771"/>
    <w:rsid w:val="00747AA6"/>
    <w:rsid w:val="007603A4"/>
    <w:rsid w:val="007652A8"/>
    <w:rsid w:val="00766801"/>
    <w:rsid w:val="0077227E"/>
    <w:rsid w:val="00787C51"/>
    <w:rsid w:val="0079669B"/>
    <w:rsid w:val="007A2940"/>
    <w:rsid w:val="007A4932"/>
    <w:rsid w:val="007B2F43"/>
    <w:rsid w:val="007C2776"/>
    <w:rsid w:val="007E0E81"/>
    <w:rsid w:val="007E2AF8"/>
    <w:rsid w:val="007F0A06"/>
    <w:rsid w:val="007F1257"/>
    <w:rsid w:val="00815D0B"/>
    <w:rsid w:val="0082473F"/>
    <w:rsid w:val="00833EDE"/>
    <w:rsid w:val="00836EAB"/>
    <w:rsid w:val="00861769"/>
    <w:rsid w:val="00864F97"/>
    <w:rsid w:val="00882FE6"/>
    <w:rsid w:val="008978C1"/>
    <w:rsid w:val="008D6C60"/>
    <w:rsid w:val="008E5E94"/>
    <w:rsid w:val="008F4180"/>
    <w:rsid w:val="00900E92"/>
    <w:rsid w:val="00904425"/>
    <w:rsid w:val="00925468"/>
    <w:rsid w:val="00933395"/>
    <w:rsid w:val="00933993"/>
    <w:rsid w:val="0094429E"/>
    <w:rsid w:val="00951040"/>
    <w:rsid w:val="00951E6F"/>
    <w:rsid w:val="009618FF"/>
    <w:rsid w:val="009B6FCF"/>
    <w:rsid w:val="009C63A2"/>
    <w:rsid w:val="009C731D"/>
    <w:rsid w:val="009E3612"/>
    <w:rsid w:val="009F5352"/>
    <w:rsid w:val="00A27FF9"/>
    <w:rsid w:val="00A4343B"/>
    <w:rsid w:val="00A61963"/>
    <w:rsid w:val="00A84532"/>
    <w:rsid w:val="00AB1EE0"/>
    <w:rsid w:val="00AB5125"/>
    <w:rsid w:val="00AC3224"/>
    <w:rsid w:val="00AE122C"/>
    <w:rsid w:val="00AE5E72"/>
    <w:rsid w:val="00AE6740"/>
    <w:rsid w:val="00AF384A"/>
    <w:rsid w:val="00B05406"/>
    <w:rsid w:val="00B12DC0"/>
    <w:rsid w:val="00B236D4"/>
    <w:rsid w:val="00B52A76"/>
    <w:rsid w:val="00B548C3"/>
    <w:rsid w:val="00B9626E"/>
    <w:rsid w:val="00B96DFF"/>
    <w:rsid w:val="00BC53D1"/>
    <w:rsid w:val="00BD1079"/>
    <w:rsid w:val="00BD2029"/>
    <w:rsid w:val="00BE4C59"/>
    <w:rsid w:val="00C0427A"/>
    <w:rsid w:val="00C04DB1"/>
    <w:rsid w:val="00C2628C"/>
    <w:rsid w:val="00C53C91"/>
    <w:rsid w:val="00C6468E"/>
    <w:rsid w:val="00C706D1"/>
    <w:rsid w:val="00C70AFE"/>
    <w:rsid w:val="00C73ECF"/>
    <w:rsid w:val="00C775C3"/>
    <w:rsid w:val="00CA246F"/>
    <w:rsid w:val="00CC461A"/>
    <w:rsid w:val="00CC7073"/>
    <w:rsid w:val="00CE5A88"/>
    <w:rsid w:val="00CF151F"/>
    <w:rsid w:val="00D02FBA"/>
    <w:rsid w:val="00D14E30"/>
    <w:rsid w:val="00D21613"/>
    <w:rsid w:val="00D52008"/>
    <w:rsid w:val="00D621A9"/>
    <w:rsid w:val="00D64387"/>
    <w:rsid w:val="00D67B6A"/>
    <w:rsid w:val="00D82E46"/>
    <w:rsid w:val="00DA587B"/>
    <w:rsid w:val="00DD7A29"/>
    <w:rsid w:val="00DF1A52"/>
    <w:rsid w:val="00DF459D"/>
    <w:rsid w:val="00E03EBA"/>
    <w:rsid w:val="00E369B8"/>
    <w:rsid w:val="00E64452"/>
    <w:rsid w:val="00E65804"/>
    <w:rsid w:val="00E722EF"/>
    <w:rsid w:val="00E73E50"/>
    <w:rsid w:val="00E74530"/>
    <w:rsid w:val="00E85A0B"/>
    <w:rsid w:val="00E90A88"/>
    <w:rsid w:val="00EB130C"/>
    <w:rsid w:val="00EC526D"/>
    <w:rsid w:val="00ED3F37"/>
    <w:rsid w:val="00ED6152"/>
    <w:rsid w:val="00EE6DEA"/>
    <w:rsid w:val="00F019B6"/>
    <w:rsid w:val="00F05EB4"/>
    <w:rsid w:val="00F22BB6"/>
    <w:rsid w:val="00F27251"/>
    <w:rsid w:val="00F41633"/>
    <w:rsid w:val="00F47941"/>
    <w:rsid w:val="00F750BB"/>
    <w:rsid w:val="00FA0C9D"/>
    <w:rsid w:val="00FB5F54"/>
    <w:rsid w:val="00FC06F1"/>
    <w:rsid w:val="00FD1CD6"/>
    <w:rsid w:val="00FE5F3B"/>
    <w:rsid w:val="00FF517C"/>
    <w:rsid w:val="00F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4E30"/>
    <w:rPr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14E30"/>
    <w:pPr>
      <w:spacing w:before="100" w:beforeAutospacing="1" w:after="100" w:afterAutospacing="1"/>
    </w:pPr>
    <w:rPr>
      <w:color w:val="000000"/>
    </w:rPr>
  </w:style>
  <w:style w:type="character" w:styleId="Strong">
    <w:name w:val="Strong"/>
    <w:basedOn w:val="DefaultParagraphFont"/>
    <w:uiPriority w:val="22"/>
    <w:qFormat/>
    <w:rsid w:val="00D14E30"/>
    <w:rPr>
      <w:b/>
      <w:bCs/>
    </w:rPr>
  </w:style>
  <w:style w:type="paragraph" w:styleId="BalloonText">
    <w:name w:val="Balloon Text"/>
    <w:basedOn w:val="Normal"/>
    <w:link w:val="BalloonTextChar"/>
    <w:rsid w:val="00D14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4E30"/>
    <w:rPr>
      <w:rFonts w:ascii="Tahoma" w:hAnsi="Tahoma" w:cs="Tahoma"/>
      <w:sz w:val="16"/>
      <w:szCs w:val="16"/>
      <w:lang w:val="el-GR" w:eastAsia="el-GR"/>
    </w:rPr>
  </w:style>
  <w:style w:type="paragraph" w:styleId="ListParagraph">
    <w:name w:val="List Paragraph"/>
    <w:basedOn w:val="Normal"/>
    <w:uiPriority w:val="34"/>
    <w:qFormat/>
    <w:rsid w:val="00E73E50"/>
    <w:pPr>
      <w:ind w:left="720"/>
      <w:contextualSpacing/>
    </w:pPr>
  </w:style>
  <w:style w:type="paragraph" w:customStyle="1" w:styleId="Default">
    <w:name w:val="Default"/>
    <w:rsid w:val="00DF1A5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D67B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4E30"/>
    <w:rPr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14E30"/>
    <w:pPr>
      <w:spacing w:before="100" w:beforeAutospacing="1" w:after="100" w:afterAutospacing="1"/>
    </w:pPr>
    <w:rPr>
      <w:color w:val="000000"/>
    </w:rPr>
  </w:style>
  <w:style w:type="character" w:styleId="Strong">
    <w:name w:val="Strong"/>
    <w:basedOn w:val="DefaultParagraphFont"/>
    <w:uiPriority w:val="22"/>
    <w:qFormat/>
    <w:rsid w:val="00D14E30"/>
    <w:rPr>
      <w:b/>
      <w:bCs/>
    </w:rPr>
  </w:style>
  <w:style w:type="paragraph" w:styleId="BalloonText">
    <w:name w:val="Balloon Text"/>
    <w:basedOn w:val="Normal"/>
    <w:link w:val="BalloonTextChar"/>
    <w:rsid w:val="00D14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4E30"/>
    <w:rPr>
      <w:rFonts w:ascii="Tahoma" w:hAnsi="Tahoma" w:cs="Tahoma"/>
      <w:sz w:val="16"/>
      <w:szCs w:val="16"/>
      <w:lang w:val="el-GR" w:eastAsia="el-GR"/>
    </w:rPr>
  </w:style>
  <w:style w:type="paragraph" w:styleId="ListParagraph">
    <w:name w:val="List Paragraph"/>
    <w:basedOn w:val="Normal"/>
    <w:uiPriority w:val="34"/>
    <w:qFormat/>
    <w:rsid w:val="00E73E50"/>
    <w:pPr>
      <w:ind w:left="720"/>
      <w:contextualSpacing/>
    </w:pPr>
  </w:style>
  <w:style w:type="paragraph" w:customStyle="1" w:styleId="Default">
    <w:name w:val="Default"/>
    <w:rsid w:val="00DF1A5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D67B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Patsourakou, Alkistis</dc:creator>
  <cp:lastModifiedBy>a.grispou</cp:lastModifiedBy>
  <cp:revision>2</cp:revision>
  <cp:lastPrinted>2014-02-11T15:54:00Z</cp:lastPrinted>
  <dcterms:created xsi:type="dcterms:W3CDTF">2014-02-11T16:01:00Z</dcterms:created>
  <dcterms:modified xsi:type="dcterms:W3CDTF">2014-02-11T16:01:00Z</dcterms:modified>
</cp:coreProperties>
</file>