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1A" w:rsidRDefault="0087621A">
      <w:pPr>
        <w:rPr>
          <w:lang w:val="en-GB"/>
        </w:rPr>
      </w:pPr>
    </w:p>
    <w:p w:rsidR="0087621A" w:rsidRPr="000B38F0" w:rsidRDefault="000B38F0" w:rsidP="000B38F0">
      <w:pPr>
        <w:rPr>
          <w:b/>
          <w:u w:val="double"/>
        </w:rPr>
      </w:pPr>
      <w:r>
        <w:rPr>
          <w:b/>
          <w:color w:val="E36C0A" w:themeColor="accent6" w:themeShade="BF"/>
          <w:u w:val="double"/>
        </w:rPr>
        <w:t xml:space="preserve">Ημερήσια Ενημέρωση Ανακοινώσεων Εισηγμένων Εταιριών – </w:t>
      </w:r>
      <w:proofErr w:type="spellStart"/>
      <w:r>
        <w:rPr>
          <w:b/>
          <w:color w:val="E36C0A" w:themeColor="accent6" w:themeShade="BF"/>
          <w:u w:val="double"/>
        </w:rPr>
        <w:t>Κωδ</w:t>
      </w:r>
      <w:proofErr w:type="spellEnd"/>
      <w:r w:rsidRPr="000B38F0">
        <w:rPr>
          <w:b/>
          <w:color w:val="E36C0A" w:themeColor="accent6" w:themeShade="BF"/>
          <w:u w:val="double"/>
        </w:rPr>
        <w:t>: 101012</w:t>
      </w:r>
    </w:p>
    <w:p w:rsidR="000B38F0" w:rsidRPr="000B38F0" w:rsidRDefault="000B38F0" w:rsidP="000B38F0"/>
    <w:p w:rsidR="006F4E3E" w:rsidRPr="000B38F0" w:rsidRDefault="008C1E86" w:rsidP="000B38F0">
      <w:pPr>
        <w:rPr>
          <w:i/>
        </w:rPr>
      </w:pPr>
      <w:r w:rsidRPr="000B38F0">
        <w:rPr>
          <w:i/>
        </w:rPr>
        <w:t>Ημερομηνία</w:t>
      </w:r>
      <w:r w:rsidR="007342FB" w:rsidRPr="000B38F0">
        <w:rPr>
          <w:i/>
        </w:rPr>
        <w:t xml:space="preserve">: </w:t>
      </w:r>
      <w:proofErr w:type="spellStart"/>
      <w:r w:rsidRPr="000B38F0">
        <w:rPr>
          <w:i/>
        </w:rPr>
        <w:t>ηη</w:t>
      </w:r>
      <w:r w:rsidR="00A300A9" w:rsidRPr="000B38F0">
        <w:rPr>
          <w:i/>
        </w:rPr>
        <w:t>.</w:t>
      </w:r>
      <w:r w:rsidRPr="000B38F0">
        <w:rPr>
          <w:i/>
        </w:rPr>
        <w:t>μμ.εεε</w:t>
      </w:r>
      <w:bookmarkStart w:id="0" w:name="_GoBack"/>
      <w:bookmarkEnd w:id="0"/>
      <w:proofErr w:type="spellEnd"/>
    </w:p>
    <w:p w:rsidR="00EB5EFB" w:rsidRPr="000B38F0" w:rsidRDefault="00EB5EFB" w:rsidP="0087621A">
      <w:pPr>
        <w:jc w:val="center"/>
      </w:pPr>
    </w:p>
    <w:p w:rsidR="006F4E3E" w:rsidRPr="00EB5EFB" w:rsidRDefault="008C1E86" w:rsidP="00EB5EFB">
      <w:pPr>
        <w:spacing w:before="20" w:after="20"/>
        <w:jc w:val="both"/>
        <w:rPr>
          <w:b/>
          <w:color w:val="7030A0"/>
        </w:rPr>
      </w:pPr>
      <w:r w:rsidRPr="00EB5EFB">
        <w:rPr>
          <w:b/>
          <w:color w:val="7030A0"/>
        </w:rPr>
        <w:t>ΕΤΑΙΡΙΚΕΣ ΠΡΑΞΕΙΣ</w:t>
      </w:r>
    </w:p>
    <w:p w:rsidR="006F4E3E" w:rsidRPr="00AE4A02" w:rsidRDefault="006F4E3E" w:rsidP="006F4E3E">
      <w:pPr>
        <w:spacing w:before="20" w:after="20"/>
        <w:jc w:val="both"/>
        <w:rPr>
          <w:sz w:val="20"/>
          <w:szCs w:val="20"/>
          <w:lang w:eastAsia="en-US"/>
        </w:rPr>
      </w:pPr>
    </w:p>
    <w:p w:rsidR="006F4E3E" w:rsidRPr="00AE4A02" w:rsidRDefault="00AE4A02" w:rsidP="006F4E3E">
      <w:pPr>
        <w:spacing w:before="20" w:after="20"/>
        <w:jc w:val="both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ΤΡΑΠΕΖΑ ΚΥΠΡΟΥ ΔΗΜΟΣΙΑ ΕΤΑΙΡΙΑ ΛΙΜΙΤΕΔ</w:t>
      </w:r>
    </w:p>
    <w:p w:rsidR="00AE4A02" w:rsidRPr="00AE4A02" w:rsidRDefault="00AE4A02" w:rsidP="00AE4A02">
      <w:pPr>
        <w:jc w:val="both"/>
        <w:rPr>
          <w:sz w:val="20"/>
        </w:rPr>
      </w:pPr>
      <w:r w:rsidRPr="00AE4A02">
        <w:rPr>
          <w:sz w:val="20"/>
        </w:rPr>
        <w:t>Το νέο επιτόκιο της τοκοφόρου περιόδου 1/7/2012-31/12/2012, για τα 27.283.632 Μετατρέψιμα Χρεόγραφα 2013/2018 της Τράπεζας «ΤΡΑΠΕΖΑ ΚΥΠΡΟΥ ΔΗΜΟΣΙΑ ΕΤΑΙΡΙΑ ΛΤΔ», που προέκυψαν από την έκδοση Δανείου 10-ετούς διάρκειας, με ημερομηνία έκδοσης 30/7/2008, ορίζεται σε 1,93%.</w:t>
      </w:r>
    </w:p>
    <w:p w:rsidR="006F4E3E" w:rsidRPr="00AE4A02" w:rsidRDefault="006F4E3E" w:rsidP="006F4E3E">
      <w:pPr>
        <w:spacing w:before="20" w:after="20"/>
        <w:jc w:val="both"/>
        <w:rPr>
          <w:sz w:val="20"/>
          <w:szCs w:val="20"/>
          <w:lang w:eastAsia="en-US"/>
        </w:rPr>
      </w:pPr>
    </w:p>
    <w:p w:rsidR="006F4E3E" w:rsidRPr="006F4E3E" w:rsidRDefault="006F4E3E" w:rsidP="006F4E3E">
      <w:pPr>
        <w:spacing w:before="20" w:after="20"/>
        <w:jc w:val="both"/>
        <w:rPr>
          <w:sz w:val="20"/>
          <w:szCs w:val="20"/>
          <w:lang w:val="en-US" w:eastAsia="en-US"/>
        </w:rPr>
      </w:pPr>
      <w:r w:rsidRPr="006F4E3E">
        <w:rPr>
          <w:sz w:val="20"/>
          <w:szCs w:val="20"/>
          <w:lang w:val="en-US" w:eastAsia="en-US"/>
        </w:rPr>
        <w:t>…………………………………………………………………………………………………………….. ……………………………………………………………………………………………………………</w:t>
      </w:r>
    </w:p>
    <w:p w:rsidR="006F4E3E" w:rsidRDefault="006F4E3E" w:rsidP="006F4E3E">
      <w:pPr>
        <w:spacing w:before="20" w:after="20"/>
        <w:jc w:val="both"/>
        <w:rPr>
          <w:sz w:val="20"/>
          <w:szCs w:val="20"/>
          <w:u w:val="single"/>
          <w:lang w:val="en-US" w:eastAsia="en-US"/>
        </w:rPr>
      </w:pPr>
    </w:p>
    <w:p w:rsidR="00EB5EFB" w:rsidRPr="00EB5EFB" w:rsidRDefault="00EB5EFB" w:rsidP="006F4E3E">
      <w:pPr>
        <w:spacing w:before="20" w:after="20"/>
        <w:jc w:val="both"/>
        <w:rPr>
          <w:sz w:val="20"/>
          <w:szCs w:val="20"/>
          <w:u w:val="single"/>
          <w:lang w:val="en-US" w:eastAsia="en-US"/>
        </w:rPr>
      </w:pPr>
    </w:p>
    <w:p w:rsidR="006F4E3E" w:rsidRPr="00EB5EFB" w:rsidRDefault="008C1E86" w:rsidP="00EB5EFB">
      <w:pPr>
        <w:spacing w:before="20" w:after="20"/>
        <w:jc w:val="both"/>
        <w:rPr>
          <w:b/>
          <w:color w:val="7030A0"/>
        </w:rPr>
      </w:pPr>
      <w:r w:rsidRPr="00EB5EFB">
        <w:rPr>
          <w:b/>
          <w:color w:val="7030A0"/>
        </w:rPr>
        <w:t>ΑΝΑΚΟΙΝΩΣΕΙΣ</w:t>
      </w:r>
    </w:p>
    <w:p w:rsidR="006F4E3E" w:rsidRPr="006F4E3E" w:rsidRDefault="006F4E3E" w:rsidP="006F4E3E">
      <w:pPr>
        <w:spacing w:before="20" w:after="20"/>
        <w:jc w:val="both"/>
        <w:rPr>
          <w:sz w:val="20"/>
          <w:szCs w:val="20"/>
          <w:lang w:val="en-GB" w:eastAsia="en-US"/>
        </w:rPr>
      </w:pPr>
    </w:p>
    <w:p w:rsidR="006F4E3E" w:rsidRPr="00AE4A02" w:rsidRDefault="006F4E3E" w:rsidP="006F4E3E">
      <w:pPr>
        <w:spacing w:before="20" w:after="20"/>
        <w:jc w:val="both"/>
        <w:rPr>
          <w:b/>
          <w:sz w:val="20"/>
          <w:szCs w:val="20"/>
          <w:lang w:val="en-US" w:eastAsia="en-US"/>
        </w:rPr>
      </w:pPr>
      <w:proofErr w:type="gramStart"/>
      <w:r w:rsidRPr="006F4E3E">
        <w:rPr>
          <w:b/>
          <w:sz w:val="20"/>
          <w:szCs w:val="20"/>
          <w:lang w:val="en-GB" w:eastAsia="en-US"/>
        </w:rPr>
        <w:t xml:space="preserve">PLAISIO COMPUTERS </w:t>
      </w:r>
      <w:r w:rsidR="00AE4A02">
        <w:rPr>
          <w:b/>
          <w:sz w:val="20"/>
          <w:szCs w:val="20"/>
          <w:lang w:eastAsia="en-US"/>
        </w:rPr>
        <w:t>Α</w:t>
      </w:r>
      <w:r w:rsidR="00AE4A02" w:rsidRPr="00AE4A02">
        <w:rPr>
          <w:b/>
          <w:sz w:val="20"/>
          <w:szCs w:val="20"/>
          <w:lang w:val="en-US" w:eastAsia="en-US"/>
        </w:rPr>
        <w:t>.</w:t>
      </w:r>
      <w:r w:rsidR="00AE4A02">
        <w:rPr>
          <w:b/>
          <w:sz w:val="20"/>
          <w:szCs w:val="20"/>
          <w:lang w:eastAsia="en-US"/>
        </w:rPr>
        <w:t>Ε</w:t>
      </w:r>
      <w:r w:rsidR="00AE4A02" w:rsidRPr="00AE4A02">
        <w:rPr>
          <w:b/>
          <w:sz w:val="20"/>
          <w:szCs w:val="20"/>
          <w:lang w:val="en-US" w:eastAsia="en-US"/>
        </w:rPr>
        <w:t>.</w:t>
      </w:r>
      <w:r w:rsidR="00AE4A02">
        <w:rPr>
          <w:b/>
          <w:sz w:val="20"/>
          <w:szCs w:val="20"/>
          <w:lang w:eastAsia="en-US"/>
        </w:rPr>
        <w:t>Β</w:t>
      </w:r>
      <w:r w:rsidR="00AE4A02" w:rsidRPr="00AE4A02">
        <w:rPr>
          <w:b/>
          <w:sz w:val="20"/>
          <w:szCs w:val="20"/>
          <w:lang w:val="en-US" w:eastAsia="en-US"/>
        </w:rPr>
        <w:t>.</w:t>
      </w:r>
      <w:r w:rsidR="00AE4A02">
        <w:rPr>
          <w:b/>
          <w:sz w:val="20"/>
          <w:szCs w:val="20"/>
          <w:lang w:eastAsia="en-US"/>
        </w:rPr>
        <w:t>Ε</w:t>
      </w:r>
      <w:r w:rsidR="00AE4A02" w:rsidRPr="00AE4A02">
        <w:rPr>
          <w:b/>
          <w:sz w:val="20"/>
          <w:szCs w:val="20"/>
          <w:lang w:val="en-US" w:eastAsia="en-US"/>
        </w:rPr>
        <w:t>.</w:t>
      </w:r>
      <w:proofErr w:type="gramEnd"/>
    </w:p>
    <w:p w:rsidR="00AE4A02" w:rsidRPr="00AE4A02" w:rsidRDefault="00AE4A02" w:rsidP="00AE4A02">
      <w:pPr>
        <w:jc w:val="both"/>
        <w:rPr>
          <w:sz w:val="20"/>
        </w:rPr>
      </w:pPr>
      <w:r>
        <w:rPr>
          <w:sz w:val="20"/>
        </w:rPr>
        <w:t xml:space="preserve">H Εταιρεία </w:t>
      </w:r>
      <w:r w:rsidRPr="00AE4A02">
        <w:rPr>
          <w:sz w:val="20"/>
        </w:rPr>
        <w:t>ΠΛΑΙΣΙΟ COMPUTERS ΑΝΩΝΥΜΟΣ ΕΜΠΟΡΙΚΗ ΚΑΙ ΒΙΟΜΗΧΑΝΙΚΗ ΕΤΑΙΡΕΙΑ ΗΛΕΚΤΡΟΝΙΚΩΝ ΥΠΟΛΟΓΙΣΤ</w:t>
      </w:r>
      <w:r>
        <w:rPr>
          <w:sz w:val="20"/>
        </w:rPr>
        <w:t>ΩΝ ΚΑΙ ΕΙΔΩΝ ΒΙΒΛΙΟΧΑΡΤΟΠΩΛΕΙΟΥ</w:t>
      </w:r>
      <w:r w:rsidRPr="00AE4A02">
        <w:rPr>
          <w:sz w:val="20"/>
        </w:rPr>
        <w:t xml:space="preserve"> ανακοινώνει με την παρούσα , σύμφωνα με τον ν. 3556/2007 (άρθρο 3, (ιστ), (</w:t>
      </w:r>
      <w:proofErr w:type="spellStart"/>
      <w:r w:rsidRPr="00AE4A02">
        <w:rPr>
          <w:sz w:val="20"/>
        </w:rPr>
        <w:t>ββ</w:t>
      </w:r>
      <w:proofErr w:type="spellEnd"/>
      <w:r w:rsidRPr="00AE4A02">
        <w:rPr>
          <w:sz w:val="20"/>
        </w:rPr>
        <w:t xml:space="preserve">), και άρθρο 21), σε συνδυασμό με την απόφαση 1/434/3.7.2007 και την Εγκύκλιο με αριθμό 33 του ΔΣ της Επιτροπής Κεφαλαιαγοράς,  ότι ο Κωνσταντίνος Γεράρδος του Γεωργίου, Αντιπρόεδρος του Διοικητικού Συμβουλίου και Διευθύνων Σύμβουλος (υπόχρεο πρόσωπο με βάση το άρθρο 13 του Ν.3340/2005), προέβη στις 11/07/2012 σε αγορά 64.000 κοινών ονομαστικών μετοχών της Εταιρείας, συνολικής αξίας ευρώ 121.758,62. </w:t>
      </w:r>
    </w:p>
    <w:p w:rsidR="006F4E3E" w:rsidRPr="00AE4A02" w:rsidRDefault="006F4E3E" w:rsidP="006F4E3E">
      <w:pPr>
        <w:spacing w:before="20" w:after="20"/>
        <w:jc w:val="both"/>
        <w:rPr>
          <w:sz w:val="20"/>
          <w:szCs w:val="20"/>
          <w:lang w:eastAsia="en-US"/>
        </w:rPr>
      </w:pPr>
    </w:p>
    <w:p w:rsidR="006F4E3E" w:rsidRPr="00C81E98" w:rsidRDefault="00AE4A02" w:rsidP="006F4E3E">
      <w:pPr>
        <w:spacing w:before="20" w:after="20"/>
        <w:jc w:val="both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ΕΛΛΗΝΙΚΑ ΧΡΗΜΑΤΙΣΤΗΡΙΑ Α.Ε.</w:t>
      </w:r>
    </w:p>
    <w:p w:rsidR="00AE4A02" w:rsidRPr="00AE4A02" w:rsidRDefault="00AE4A02" w:rsidP="00AE4A02">
      <w:pPr>
        <w:jc w:val="both"/>
        <w:rPr>
          <w:sz w:val="20"/>
        </w:rPr>
      </w:pPr>
      <w:r w:rsidRPr="00AE4A02">
        <w:rPr>
          <w:sz w:val="20"/>
        </w:rPr>
        <w:t xml:space="preserve">Η Εταιρεία Ελληνικά Χρηματιστήρια Α.Ε. (ΕΧΑΕ) ανακοινώνει με βάση το ν. 3556/2007 και το ν. 3606/2007 ότι η </w:t>
      </w:r>
      <w:proofErr w:type="spellStart"/>
      <w:r w:rsidRPr="00AE4A02">
        <w:rPr>
          <w:sz w:val="20"/>
        </w:rPr>
        <w:t>Eurobank</w:t>
      </w:r>
      <w:proofErr w:type="spellEnd"/>
      <w:r w:rsidRPr="00AE4A02">
        <w:rPr>
          <w:sz w:val="20"/>
        </w:rPr>
        <w:t xml:space="preserve"> EFG </w:t>
      </w:r>
      <w:proofErr w:type="spellStart"/>
      <w:r w:rsidRPr="00AE4A02">
        <w:rPr>
          <w:sz w:val="20"/>
        </w:rPr>
        <w:t>Equities</w:t>
      </w:r>
      <w:proofErr w:type="spellEnd"/>
      <w:r w:rsidRPr="00AE4A02">
        <w:rPr>
          <w:sz w:val="20"/>
        </w:rPr>
        <w:t xml:space="preserve"> Α.Ε.Π.Ε.Υ. την ενημέρωσε στις 09/07/2012 ότι: 1. Στις 06/07/2012 προέβη σε αγορά 9 ΣΜΕ ΕΧΑΕ, συνολικής αξίας 2.413,00 ευρώ. 2. Στις 06/07/2012 προέβη σε αγορά 1.480 κοινών ονομαστικών μετοχών ΕΧΑΕ, συνολικής αξίας 3.986,80 ευρώ. 3. Στις 06/07/2012 προέβη σε αγορά 5.500 κοινών ονομαστικών μετοχών ΕΧΑΕ, συνολικής αξίας 14.920,80 ευρώ. 4. Στις 06/07/2012 προέβη σε πώληση 900 κοινών ονομαστικών μετοχών ΕΧΑΕ, συνολικής αξίας 2.434,00 ευρώ. 5. Στις 06/07/2012 προέβη σε πώληση 1.480 κοινών ονομαστικών μετοχών ΕΧΑΕ, συνολικής αξίας 3.980,60 ευρώ. Οι συναλλαγές 1, 2 και 4, 5 πραγματοποιήθηκαν λόγω της ιδιότητας της </w:t>
      </w:r>
      <w:proofErr w:type="spellStart"/>
      <w:r w:rsidRPr="00AE4A02">
        <w:rPr>
          <w:sz w:val="20"/>
        </w:rPr>
        <w:t>Eurobank</w:t>
      </w:r>
      <w:proofErr w:type="spellEnd"/>
      <w:r w:rsidRPr="00AE4A02">
        <w:rPr>
          <w:sz w:val="20"/>
        </w:rPr>
        <w:t xml:space="preserve"> EFG </w:t>
      </w:r>
      <w:proofErr w:type="spellStart"/>
      <w:r w:rsidRPr="00AE4A02">
        <w:rPr>
          <w:sz w:val="20"/>
        </w:rPr>
        <w:t>Equities</w:t>
      </w:r>
      <w:proofErr w:type="spellEnd"/>
      <w:r w:rsidRPr="00AE4A02">
        <w:rPr>
          <w:sz w:val="20"/>
        </w:rPr>
        <w:t xml:space="preserve"> Α.Ε.Π.Ε.Υ. ως ειδικού διαπραγματευτή παραγώγων. Η γνωστοποίηση εκ μέρους της </w:t>
      </w:r>
      <w:proofErr w:type="spellStart"/>
      <w:r w:rsidRPr="00AE4A02">
        <w:rPr>
          <w:sz w:val="20"/>
        </w:rPr>
        <w:t>Eurobank</w:t>
      </w:r>
      <w:proofErr w:type="spellEnd"/>
      <w:r w:rsidRPr="00AE4A02">
        <w:rPr>
          <w:sz w:val="20"/>
        </w:rPr>
        <w:t xml:space="preserve"> EFG </w:t>
      </w:r>
      <w:proofErr w:type="spellStart"/>
      <w:r w:rsidRPr="00AE4A02">
        <w:rPr>
          <w:sz w:val="20"/>
        </w:rPr>
        <w:t>Equities</w:t>
      </w:r>
      <w:proofErr w:type="spellEnd"/>
      <w:r w:rsidRPr="00AE4A02">
        <w:rPr>
          <w:sz w:val="20"/>
        </w:rPr>
        <w:t xml:space="preserve"> Α.Ε.Π.Ε.Υ. προς την ΕΧΑΕ και ακολούθως από την ΕΧΑΕ προς τις αρχές της Κεφαλαιαγοράς, γίνεται επειδή ο κ. Κωνσταντίνος </w:t>
      </w:r>
      <w:proofErr w:type="spellStart"/>
      <w:r w:rsidRPr="00AE4A02">
        <w:rPr>
          <w:sz w:val="20"/>
        </w:rPr>
        <w:t>Βουσβούνης</w:t>
      </w:r>
      <w:proofErr w:type="spellEnd"/>
      <w:r w:rsidRPr="00AE4A02">
        <w:rPr>
          <w:sz w:val="20"/>
        </w:rPr>
        <w:t xml:space="preserve"> ασκεί διευθυντικά καθήκοντα ως Μη Εκτελεστικός Πρόεδρος του Δ.Σ. της </w:t>
      </w:r>
      <w:proofErr w:type="spellStart"/>
      <w:r w:rsidRPr="00AE4A02">
        <w:rPr>
          <w:sz w:val="20"/>
        </w:rPr>
        <w:t>Eurobank</w:t>
      </w:r>
      <w:proofErr w:type="spellEnd"/>
      <w:r w:rsidRPr="00AE4A02">
        <w:rPr>
          <w:sz w:val="20"/>
        </w:rPr>
        <w:t xml:space="preserve"> EFG </w:t>
      </w:r>
      <w:proofErr w:type="spellStart"/>
      <w:r w:rsidRPr="00AE4A02">
        <w:rPr>
          <w:sz w:val="20"/>
        </w:rPr>
        <w:t>Equities</w:t>
      </w:r>
      <w:proofErr w:type="spellEnd"/>
      <w:r w:rsidRPr="00AE4A02">
        <w:rPr>
          <w:sz w:val="20"/>
        </w:rPr>
        <w:t xml:space="preserve"> Α.Ε.Π.Ε.Υ., ενώ κατέχει ταυτόχρονα τη θέση του Μη Εκτελεστικού Μέλους του Δ.Σ. της ΕΧΑΕ (υπόχρεο πρόσωπο με βάση το Ν.3340/2005). </w:t>
      </w:r>
    </w:p>
    <w:p w:rsidR="006F4E3E" w:rsidRPr="00AE4A02" w:rsidRDefault="006F4E3E" w:rsidP="006F4E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6F4E3E" w:rsidRPr="00C81E98" w:rsidRDefault="006F4E3E" w:rsidP="006F4E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C81E98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:rsidR="006F4E3E" w:rsidRPr="000B38F0" w:rsidRDefault="006F4E3E" w:rsidP="006F4E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6F4E3E" w:rsidRPr="000B38F0" w:rsidRDefault="006F4E3E" w:rsidP="006F4E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6F4E3E" w:rsidRPr="00EB5EFB" w:rsidRDefault="008C1E86" w:rsidP="00EB5EFB">
      <w:pPr>
        <w:spacing w:before="20" w:after="20"/>
        <w:jc w:val="both"/>
        <w:rPr>
          <w:b/>
          <w:color w:val="7030A0"/>
        </w:rPr>
      </w:pPr>
      <w:r w:rsidRPr="00EB5EFB">
        <w:rPr>
          <w:b/>
          <w:color w:val="7030A0"/>
        </w:rPr>
        <w:t>ΓΕΝΙΚΕΣ ΣΥΝΕΛΕΥΣΕΙΣ</w:t>
      </w:r>
    </w:p>
    <w:p w:rsidR="006F4E3E" w:rsidRPr="00AE4A02" w:rsidRDefault="006F4E3E" w:rsidP="006F4E3E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6F4E3E" w:rsidRPr="00AE4A02" w:rsidRDefault="00AE4A02" w:rsidP="006F4E3E">
      <w:pPr>
        <w:spacing w:before="20" w:after="20"/>
        <w:jc w:val="both"/>
        <w:rPr>
          <w:b/>
          <w:sz w:val="20"/>
          <w:szCs w:val="20"/>
          <w:lang w:eastAsia="en-US"/>
        </w:rPr>
      </w:pPr>
      <w:proofErr w:type="gramStart"/>
      <w:r>
        <w:rPr>
          <w:b/>
          <w:sz w:val="20"/>
          <w:szCs w:val="20"/>
          <w:lang w:val="en-GB" w:eastAsia="en-US"/>
        </w:rPr>
        <w:t>FORTHNET</w:t>
      </w:r>
      <w:r w:rsidRPr="00AE4A02">
        <w:rPr>
          <w:b/>
          <w:sz w:val="20"/>
          <w:szCs w:val="20"/>
          <w:lang w:eastAsia="en-US"/>
        </w:rPr>
        <w:t xml:space="preserve"> </w:t>
      </w:r>
      <w:r>
        <w:rPr>
          <w:b/>
          <w:sz w:val="20"/>
          <w:szCs w:val="20"/>
          <w:lang w:eastAsia="en-US"/>
        </w:rPr>
        <w:t>Α.Ε.</w:t>
      </w:r>
      <w:proofErr w:type="gramEnd"/>
    </w:p>
    <w:p w:rsidR="006F4E3E" w:rsidRPr="00AE4A02" w:rsidRDefault="00AE4A02" w:rsidP="006F4E3E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AE4A02">
        <w:rPr>
          <w:sz w:val="20"/>
        </w:rPr>
        <w:t xml:space="preserve">Έκτακτη Γενική Συνέλευση την 03/08/2012, ημέρα Παρασκευή και ώρα 11.00 στην έδρα της Εταιρείας, στο Δήμο Ηρακλείου Κρήτης (Επιστημονικό και Τεχνολογικό Πάρκο Κρήτης, περιοχή Βασιλικά </w:t>
      </w:r>
      <w:proofErr w:type="spellStart"/>
      <w:r w:rsidRPr="00AE4A02">
        <w:rPr>
          <w:sz w:val="20"/>
        </w:rPr>
        <w:t>Βουτών</w:t>
      </w:r>
      <w:proofErr w:type="spellEnd"/>
      <w:r w:rsidRPr="00AE4A02">
        <w:rPr>
          <w:sz w:val="20"/>
        </w:rPr>
        <w:t xml:space="preserve">). Σε περίπτωση μη επίτευξης της απαιτούμενης απαρτίας, για όλα ή για ορισμένα από τα θέματα της ημερήσιας διάταξης, καλούνται οι </w:t>
      </w:r>
      <w:proofErr w:type="spellStart"/>
      <w:r w:rsidRPr="00AE4A02">
        <w:rPr>
          <w:sz w:val="20"/>
        </w:rPr>
        <w:t>κ.κ</w:t>
      </w:r>
      <w:proofErr w:type="spellEnd"/>
      <w:r w:rsidRPr="00AE4A02">
        <w:rPr>
          <w:sz w:val="20"/>
        </w:rPr>
        <w:t>. Μέτοχοι σε: - Α</w:t>
      </w:r>
      <w:smartTag w:uri="urn:schemas-microsoft-com:office:smarttags" w:element="PersonName">
        <w:r w:rsidRPr="00AE4A02">
          <w:rPr>
            <w:sz w:val="20"/>
          </w:rPr>
          <w:t>'</w:t>
        </w:r>
      </w:smartTag>
      <w:r w:rsidRPr="00AE4A02">
        <w:rPr>
          <w:sz w:val="20"/>
        </w:rPr>
        <w:t xml:space="preserve"> Επαναληπτική Γενική Συνέλευση την 14η.08.2012, ημέρα Τρίτη και ώρα 11.00 στην έδρα της Εταιρείας, στο Δήμο </w:t>
      </w:r>
      <w:r w:rsidRPr="00AE4A02">
        <w:rPr>
          <w:sz w:val="20"/>
        </w:rPr>
        <w:lastRenderedPageBreak/>
        <w:t xml:space="preserve">Ηρακλείου Κρήτης (Επιστημονικό και Τεχνολογικό Πάρκο Κρήτης, περιοχή Βασιλικά </w:t>
      </w:r>
      <w:proofErr w:type="spellStart"/>
      <w:r w:rsidRPr="00AE4A02">
        <w:rPr>
          <w:sz w:val="20"/>
        </w:rPr>
        <w:t>Βουτών</w:t>
      </w:r>
      <w:proofErr w:type="spellEnd"/>
      <w:r w:rsidRPr="00AE4A02">
        <w:rPr>
          <w:sz w:val="20"/>
        </w:rPr>
        <w:t>)</w:t>
      </w:r>
      <w:r w:rsidR="006F4E3E" w:rsidRPr="00AE4A02">
        <w:rPr>
          <w:sz w:val="20"/>
          <w:szCs w:val="20"/>
          <w:lang w:eastAsia="en-US"/>
        </w:rPr>
        <w:t xml:space="preserve"> ………………………………………</w:t>
      </w:r>
      <w:r>
        <w:rPr>
          <w:sz w:val="20"/>
          <w:szCs w:val="20"/>
          <w:lang w:eastAsia="en-US"/>
        </w:rPr>
        <w:t>……..</w:t>
      </w:r>
      <w:r w:rsidR="006F4E3E" w:rsidRPr="00AE4A02">
        <w:rPr>
          <w:sz w:val="20"/>
          <w:szCs w:val="20"/>
          <w:lang w:eastAsia="en-US"/>
        </w:rPr>
        <w:t>………………………</w:t>
      </w:r>
      <w:r>
        <w:rPr>
          <w:sz w:val="20"/>
          <w:szCs w:val="20"/>
          <w:lang w:eastAsia="en-US"/>
        </w:rPr>
        <w:t>….………</w:t>
      </w:r>
      <w:r w:rsidR="006F4E3E" w:rsidRPr="00AE4A02">
        <w:rPr>
          <w:sz w:val="20"/>
          <w:szCs w:val="20"/>
          <w:lang w:eastAsia="en-US"/>
        </w:rPr>
        <w:t>……</w:t>
      </w:r>
      <w:r>
        <w:rPr>
          <w:sz w:val="20"/>
          <w:szCs w:val="20"/>
          <w:lang w:eastAsia="en-US"/>
        </w:rPr>
        <w:t>……………………..</w:t>
      </w:r>
      <w:r w:rsidR="006F4E3E" w:rsidRPr="00AE4A02">
        <w:rPr>
          <w:sz w:val="20"/>
          <w:szCs w:val="20"/>
          <w:lang w:eastAsia="en-US"/>
        </w:rPr>
        <w:t xml:space="preserve"> ……………………………………………………………………. ……. ..……………..… …………… ……………………………………………………….. ……………………………………</w:t>
      </w:r>
      <w:r>
        <w:rPr>
          <w:sz w:val="20"/>
          <w:szCs w:val="20"/>
          <w:lang w:eastAsia="en-US"/>
        </w:rPr>
        <w:t>……………..</w:t>
      </w:r>
    </w:p>
    <w:p w:rsidR="006F4E3E" w:rsidRPr="00AE4A02" w:rsidRDefault="006F4E3E" w:rsidP="006F4E3E">
      <w:pPr>
        <w:jc w:val="both"/>
      </w:pPr>
    </w:p>
    <w:p w:rsidR="0087621A" w:rsidRPr="00AE4A02" w:rsidRDefault="0087621A" w:rsidP="0087621A">
      <w:pPr>
        <w:jc w:val="center"/>
      </w:pPr>
    </w:p>
    <w:p w:rsidR="0087621A" w:rsidRPr="00AE4A02" w:rsidRDefault="0087621A" w:rsidP="0087621A">
      <w:pPr>
        <w:jc w:val="center"/>
      </w:pPr>
    </w:p>
    <w:p w:rsidR="0087621A" w:rsidRPr="00AE4A02" w:rsidRDefault="0087621A" w:rsidP="0087621A">
      <w:pPr>
        <w:jc w:val="center"/>
      </w:pPr>
    </w:p>
    <w:sectPr w:rsidR="0087621A" w:rsidRPr="00AE4A02" w:rsidSect="00EB1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41" w:right="1797" w:bottom="1440" w:left="179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E8" w:rsidRDefault="001528E8" w:rsidP="00C81E98">
      <w:r>
        <w:separator/>
      </w:r>
    </w:p>
  </w:endnote>
  <w:endnote w:type="continuationSeparator" w:id="0">
    <w:p w:rsidR="001528E8" w:rsidRDefault="001528E8" w:rsidP="00C8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F9" w:rsidRDefault="00EB11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F9" w:rsidRDefault="00EB11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F9" w:rsidRDefault="00EB11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E8" w:rsidRDefault="001528E8" w:rsidP="00C81E98">
      <w:r>
        <w:separator/>
      </w:r>
    </w:p>
  </w:footnote>
  <w:footnote w:type="continuationSeparator" w:id="0">
    <w:p w:rsidR="001528E8" w:rsidRDefault="001528E8" w:rsidP="00C81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F9" w:rsidRDefault="00EB11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E98" w:rsidRDefault="00C81E98" w:rsidP="00EB11F9">
    <w:pPr>
      <w:pStyle w:val="Header"/>
      <w:jc w:val="center"/>
    </w:pPr>
    <w:r>
      <w:rPr>
        <w:noProof/>
      </w:rPr>
      <w:drawing>
        <wp:inline distT="0" distB="0" distL="0" distR="0" wp14:anchorId="2EDCE6E4" wp14:editId="6B928C98">
          <wp:extent cx="5273747" cy="46358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63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1E98" w:rsidRPr="00EB11F9" w:rsidRDefault="00C81E98" w:rsidP="00EB11F9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F9" w:rsidRDefault="00EB11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CB"/>
    <w:rsid w:val="000B38F0"/>
    <w:rsid w:val="001528E8"/>
    <w:rsid w:val="00216461"/>
    <w:rsid w:val="0027627E"/>
    <w:rsid w:val="00602112"/>
    <w:rsid w:val="006F4E3E"/>
    <w:rsid w:val="007342FB"/>
    <w:rsid w:val="0087621A"/>
    <w:rsid w:val="008C1E86"/>
    <w:rsid w:val="008E3B5C"/>
    <w:rsid w:val="009C4DAC"/>
    <w:rsid w:val="00A300A9"/>
    <w:rsid w:val="00A8526E"/>
    <w:rsid w:val="00AE4A02"/>
    <w:rsid w:val="00B4212C"/>
    <w:rsid w:val="00C66E19"/>
    <w:rsid w:val="00C81E98"/>
    <w:rsid w:val="00EB11F9"/>
    <w:rsid w:val="00EB5EFB"/>
    <w:rsid w:val="00EE18B8"/>
    <w:rsid w:val="00F461CB"/>
    <w:rsid w:val="00F7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46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61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81E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E98"/>
    <w:rPr>
      <w:sz w:val="24"/>
      <w:szCs w:val="24"/>
    </w:rPr>
  </w:style>
  <w:style w:type="paragraph" w:styleId="Footer">
    <w:name w:val="footer"/>
    <w:basedOn w:val="Normal"/>
    <w:link w:val="FooterChar"/>
    <w:rsid w:val="00C81E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81E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46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61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81E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E98"/>
    <w:rPr>
      <w:sz w:val="24"/>
      <w:szCs w:val="24"/>
    </w:rPr>
  </w:style>
  <w:style w:type="paragraph" w:styleId="Footer">
    <w:name w:val="footer"/>
    <w:basedOn w:val="Normal"/>
    <w:link w:val="FooterChar"/>
    <w:rsid w:val="00C81E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81E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E2F72-731B-4EA6-98A2-1786105C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Papadomarkakis, Ioannis</dc:creator>
  <cp:lastModifiedBy>Papadomarkakis, Ioannis</cp:lastModifiedBy>
  <cp:revision>9</cp:revision>
  <dcterms:created xsi:type="dcterms:W3CDTF">2012-07-25T10:11:00Z</dcterms:created>
  <dcterms:modified xsi:type="dcterms:W3CDTF">2012-07-26T10:25:00Z</dcterms:modified>
</cp:coreProperties>
</file>